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738" w:rsidRPr="00184344" w:rsidRDefault="00ED6738" w:rsidP="005A51AA">
      <w:pPr>
        <w:rPr>
          <w:rFonts w:ascii="Tahoma" w:hAnsi="Tahoma" w:cs="Tahoma"/>
          <w:sz w:val="20"/>
          <w:szCs w:val="20"/>
        </w:rPr>
      </w:pPr>
    </w:p>
    <w:p w:rsidR="00AE159B" w:rsidRPr="00184344" w:rsidRDefault="002841B3" w:rsidP="005A51AA">
      <w:pPr>
        <w:rPr>
          <w:rFonts w:ascii="Tahoma" w:hAnsi="Tahoma" w:cs="Tahoma"/>
          <w:b/>
          <w:sz w:val="20"/>
          <w:szCs w:val="20"/>
        </w:rPr>
      </w:pPr>
      <w:r>
        <w:rPr>
          <w:rFonts w:ascii="Tahoma" w:hAnsi="Tahoma" w:cs="Tahoma"/>
          <w:b/>
          <w:sz w:val="20"/>
          <w:szCs w:val="20"/>
        </w:rPr>
        <w:t>Allegato G</w:t>
      </w:r>
      <w:bookmarkStart w:id="0" w:name="_GoBack"/>
      <w:bookmarkEnd w:id="0"/>
      <w:r w:rsidR="00ED6738" w:rsidRPr="00184344">
        <w:rPr>
          <w:rFonts w:ascii="Tahoma" w:hAnsi="Tahoma" w:cs="Tahoma"/>
          <w:b/>
          <w:sz w:val="20"/>
          <w:szCs w:val="20"/>
        </w:rPr>
        <w:t xml:space="preserve"> </w:t>
      </w:r>
    </w:p>
    <w:p w:rsidR="000664BF" w:rsidRPr="00184344" w:rsidRDefault="000664BF" w:rsidP="005A51AA">
      <w:pPr>
        <w:rPr>
          <w:rFonts w:ascii="Tahoma" w:hAnsi="Tahoma" w:cs="Tahoma"/>
          <w:sz w:val="20"/>
          <w:szCs w:val="20"/>
        </w:rPr>
      </w:pPr>
    </w:p>
    <w:p w:rsidR="00746B64" w:rsidRPr="00184344" w:rsidRDefault="00657A8D" w:rsidP="00926E04">
      <w:pPr>
        <w:jc w:val="center"/>
        <w:rPr>
          <w:rFonts w:ascii="Tahoma" w:hAnsi="Tahoma" w:cs="Tahoma"/>
          <w:sz w:val="20"/>
          <w:szCs w:val="20"/>
        </w:rPr>
      </w:pPr>
      <w:r w:rsidRPr="00184344">
        <w:rPr>
          <w:rFonts w:ascii="Tahoma" w:hAnsi="Tahoma" w:cs="Tahoma"/>
          <w:sz w:val="20"/>
          <w:szCs w:val="20"/>
        </w:rPr>
        <w:t xml:space="preserve">RELAZIONE </w:t>
      </w:r>
      <w:r w:rsidR="00EC3A6B" w:rsidRPr="00184344">
        <w:rPr>
          <w:rFonts w:ascii="Tahoma" w:hAnsi="Tahoma" w:cs="Tahoma"/>
          <w:sz w:val="20"/>
          <w:szCs w:val="20"/>
        </w:rPr>
        <w:t xml:space="preserve">BILANCIO </w:t>
      </w:r>
      <w:r w:rsidR="00CC22E8" w:rsidRPr="00184344">
        <w:rPr>
          <w:rFonts w:ascii="Tahoma" w:hAnsi="Tahoma" w:cs="Tahoma"/>
          <w:sz w:val="20"/>
          <w:szCs w:val="20"/>
        </w:rPr>
        <w:t xml:space="preserve">PREVENTIVO </w:t>
      </w:r>
      <w:r w:rsidR="00EC3A6B" w:rsidRPr="00184344">
        <w:rPr>
          <w:rFonts w:ascii="Tahoma" w:hAnsi="Tahoma" w:cs="Tahoma"/>
          <w:sz w:val="20"/>
          <w:szCs w:val="20"/>
        </w:rPr>
        <w:t xml:space="preserve">ECONOMICO ANNUALE </w:t>
      </w:r>
      <w:r w:rsidR="00CC22E8" w:rsidRPr="00184344">
        <w:rPr>
          <w:rFonts w:ascii="Tahoma" w:hAnsi="Tahoma" w:cs="Tahoma"/>
          <w:sz w:val="20"/>
          <w:szCs w:val="20"/>
        </w:rPr>
        <w:t>201</w:t>
      </w:r>
      <w:r w:rsidR="00ED6873">
        <w:rPr>
          <w:rFonts w:ascii="Tahoma" w:hAnsi="Tahoma" w:cs="Tahoma"/>
          <w:sz w:val="20"/>
          <w:szCs w:val="20"/>
        </w:rPr>
        <w:t>8</w:t>
      </w:r>
    </w:p>
    <w:p w:rsidR="000664BF" w:rsidRPr="00184344" w:rsidRDefault="000664BF" w:rsidP="005A51AA">
      <w:pPr>
        <w:rPr>
          <w:rFonts w:ascii="Tahoma" w:hAnsi="Tahoma" w:cs="Tahoma"/>
          <w:sz w:val="20"/>
          <w:szCs w:val="20"/>
        </w:rPr>
      </w:pPr>
    </w:p>
    <w:p w:rsidR="00ED6873" w:rsidRDefault="00ED6873" w:rsidP="0061045B">
      <w:pPr>
        <w:spacing w:line="360" w:lineRule="auto"/>
        <w:jc w:val="both"/>
        <w:rPr>
          <w:rFonts w:ascii="Tahoma" w:hAnsi="Tahoma" w:cs="Tahoma"/>
          <w:sz w:val="20"/>
          <w:szCs w:val="20"/>
        </w:rPr>
      </w:pPr>
    </w:p>
    <w:p w:rsidR="00ED6873" w:rsidRDefault="00ED6873" w:rsidP="00ED6873">
      <w:pPr>
        <w:spacing w:line="360" w:lineRule="auto"/>
        <w:jc w:val="both"/>
        <w:rPr>
          <w:rFonts w:ascii="Tahoma" w:hAnsi="Tahoma" w:cs="Tahoma"/>
          <w:sz w:val="20"/>
          <w:szCs w:val="20"/>
        </w:rPr>
      </w:pPr>
      <w:r>
        <w:rPr>
          <w:rFonts w:ascii="Tahoma" w:hAnsi="Tahoma" w:cs="Tahoma"/>
          <w:sz w:val="20"/>
          <w:szCs w:val="20"/>
        </w:rPr>
        <w:t xml:space="preserve">Con </w:t>
      </w:r>
      <w:r w:rsidRPr="00ED6873">
        <w:rPr>
          <w:rFonts w:ascii="Tahoma" w:hAnsi="Tahoma" w:cs="Tahoma"/>
          <w:sz w:val="20"/>
          <w:szCs w:val="20"/>
        </w:rPr>
        <w:t>la D</w:t>
      </w:r>
      <w:r>
        <w:rPr>
          <w:rFonts w:ascii="Tahoma" w:hAnsi="Tahoma" w:cs="Tahoma"/>
          <w:sz w:val="20"/>
          <w:szCs w:val="20"/>
        </w:rPr>
        <w:t xml:space="preserve">eliberazione Giunta Regionale </w:t>
      </w:r>
      <w:r w:rsidRPr="00ED6873">
        <w:rPr>
          <w:rFonts w:ascii="Tahoma" w:hAnsi="Tahoma" w:cs="Tahoma"/>
          <w:sz w:val="20"/>
          <w:szCs w:val="20"/>
        </w:rPr>
        <w:t>n. 113-6305 del 22.12.2017 avente per oggetto “</w:t>
      </w:r>
      <w:r w:rsidRPr="00ED6873">
        <w:rPr>
          <w:rFonts w:ascii="Tahoma" w:hAnsi="Tahoma" w:cs="Tahoma"/>
          <w:i/>
          <w:sz w:val="20"/>
          <w:szCs w:val="20"/>
        </w:rPr>
        <w:t>Presa d’atto del bilancio preventivo economico 2017 degli Enti del SSR, e riparto agli Enti del SSR delle ulteriori risorse c/esercizio 2017, ad integrazione e/o rettifica delle risorse provvisorie assegnate con D.G.R. n. 35-5329 del 10.07.2017. Determinazione delle risorse assegnate agli Enti del SSR ai fini degli obiettivi economico – finanziari per l’anno 2018</w:t>
      </w:r>
      <w:r w:rsidRPr="00ED6873">
        <w:rPr>
          <w:rFonts w:ascii="Tahoma" w:hAnsi="Tahoma" w:cs="Tahoma"/>
          <w:sz w:val="20"/>
          <w:szCs w:val="20"/>
        </w:rPr>
        <w:t xml:space="preserve">”, sono state fornite indicazioni </w:t>
      </w:r>
      <w:r>
        <w:rPr>
          <w:rFonts w:ascii="Tahoma" w:hAnsi="Tahoma" w:cs="Tahoma"/>
          <w:sz w:val="20"/>
          <w:szCs w:val="20"/>
        </w:rPr>
        <w:t xml:space="preserve">alle ASR piemontesi </w:t>
      </w:r>
      <w:r w:rsidRPr="00ED6873">
        <w:rPr>
          <w:rFonts w:ascii="Tahoma" w:hAnsi="Tahoma" w:cs="Tahoma"/>
          <w:sz w:val="20"/>
          <w:szCs w:val="20"/>
        </w:rPr>
        <w:t xml:space="preserve">per la redazione del documento contabile previsionale </w:t>
      </w:r>
      <w:r>
        <w:rPr>
          <w:rFonts w:ascii="Tahoma" w:hAnsi="Tahoma" w:cs="Tahoma"/>
          <w:sz w:val="20"/>
          <w:szCs w:val="20"/>
        </w:rPr>
        <w:t>per l’esercizio 2018.</w:t>
      </w:r>
    </w:p>
    <w:p w:rsidR="00ED6873" w:rsidRPr="00ED6873" w:rsidRDefault="00ED6873" w:rsidP="00ED6873">
      <w:pPr>
        <w:spacing w:line="360" w:lineRule="auto"/>
        <w:jc w:val="both"/>
        <w:rPr>
          <w:rFonts w:ascii="Tahoma" w:hAnsi="Tahoma" w:cs="Tahoma"/>
          <w:sz w:val="20"/>
          <w:szCs w:val="20"/>
        </w:rPr>
      </w:pPr>
    </w:p>
    <w:p w:rsidR="00ED6873" w:rsidRPr="00ED6873" w:rsidRDefault="00ED6873" w:rsidP="00ED6873">
      <w:pPr>
        <w:spacing w:line="360" w:lineRule="auto"/>
        <w:jc w:val="both"/>
        <w:rPr>
          <w:rFonts w:ascii="Tahoma" w:hAnsi="Tahoma" w:cs="Tahoma"/>
          <w:sz w:val="20"/>
          <w:szCs w:val="20"/>
        </w:rPr>
      </w:pPr>
      <w:r>
        <w:rPr>
          <w:rFonts w:ascii="Tahoma" w:hAnsi="Tahoma" w:cs="Tahoma"/>
          <w:sz w:val="20"/>
          <w:szCs w:val="20"/>
        </w:rPr>
        <w:t xml:space="preserve">Dal suddetto documento si rileva che </w:t>
      </w:r>
      <w:r w:rsidRPr="00ED6873">
        <w:rPr>
          <w:rFonts w:ascii="Tahoma" w:hAnsi="Tahoma" w:cs="Tahoma"/>
          <w:sz w:val="20"/>
          <w:szCs w:val="20"/>
        </w:rPr>
        <w:t>il quadro delle risorse, all</w:t>
      </w:r>
      <w:r>
        <w:rPr>
          <w:rFonts w:ascii="Tahoma" w:hAnsi="Tahoma" w:cs="Tahoma"/>
          <w:sz w:val="20"/>
          <w:szCs w:val="20"/>
        </w:rPr>
        <w:t>o stato disponibili, riportato nelle</w:t>
      </w:r>
      <w:r w:rsidRPr="00ED6873">
        <w:rPr>
          <w:rFonts w:ascii="Tahoma" w:hAnsi="Tahoma" w:cs="Tahoma"/>
          <w:sz w:val="20"/>
          <w:szCs w:val="20"/>
        </w:rPr>
        <w:t xml:space="preserve"> tabelle B/1 e B/2, risulta così definito:</w:t>
      </w:r>
    </w:p>
    <w:p w:rsidR="00ED6873" w:rsidRPr="00ED6873" w:rsidRDefault="00ED6873" w:rsidP="00ED6873">
      <w:pPr>
        <w:spacing w:line="360" w:lineRule="auto"/>
        <w:jc w:val="both"/>
        <w:rPr>
          <w:rFonts w:ascii="Tahoma" w:hAnsi="Tahoma" w:cs="Tahoma"/>
          <w:sz w:val="20"/>
          <w:szCs w:val="20"/>
        </w:rPr>
      </w:pPr>
      <w:r w:rsidRPr="00ED6873">
        <w:rPr>
          <w:rFonts w:ascii="Tahoma" w:hAnsi="Tahoma" w:cs="Tahoma"/>
          <w:sz w:val="20"/>
          <w:szCs w:val="20"/>
        </w:rPr>
        <w:t>Quota F.S.R. indistinta e finalizzata</w:t>
      </w:r>
      <w:r w:rsidRPr="00ED6873">
        <w:rPr>
          <w:rFonts w:ascii="Tahoma" w:hAnsi="Tahoma" w:cs="Tahoma"/>
          <w:sz w:val="20"/>
          <w:szCs w:val="20"/>
        </w:rPr>
        <w:tab/>
        <w:t xml:space="preserve"> (ante mobilità)</w:t>
      </w:r>
      <w:r w:rsidRPr="00ED6873">
        <w:rPr>
          <w:rFonts w:ascii="Tahoma" w:hAnsi="Tahoma" w:cs="Tahoma"/>
          <w:sz w:val="20"/>
          <w:szCs w:val="20"/>
        </w:rPr>
        <w:tab/>
      </w:r>
      <w:r w:rsidRPr="00ED6873">
        <w:rPr>
          <w:rFonts w:ascii="Tahoma" w:hAnsi="Tahoma" w:cs="Tahoma"/>
          <w:sz w:val="20"/>
          <w:szCs w:val="20"/>
        </w:rPr>
        <w:tab/>
        <w:t>€  739.792.643</w:t>
      </w:r>
    </w:p>
    <w:p w:rsidR="00ED6873" w:rsidRPr="00ED6873" w:rsidRDefault="00ED6873" w:rsidP="00ED6873">
      <w:pPr>
        <w:spacing w:line="360" w:lineRule="auto"/>
        <w:jc w:val="both"/>
        <w:rPr>
          <w:rFonts w:ascii="Tahoma" w:hAnsi="Tahoma" w:cs="Tahoma"/>
          <w:sz w:val="20"/>
          <w:szCs w:val="20"/>
        </w:rPr>
      </w:pPr>
      <w:r w:rsidRPr="00ED6873">
        <w:rPr>
          <w:rFonts w:ascii="Tahoma" w:hAnsi="Tahoma" w:cs="Tahoma"/>
          <w:sz w:val="20"/>
          <w:szCs w:val="20"/>
        </w:rPr>
        <w:t>Quota F.S.R. vincolata</w:t>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t>€    17.703.272</w:t>
      </w:r>
    </w:p>
    <w:p w:rsidR="00ED6873" w:rsidRPr="00ED6873" w:rsidRDefault="00ED6873" w:rsidP="00ED6873">
      <w:pPr>
        <w:spacing w:line="360" w:lineRule="auto"/>
        <w:jc w:val="both"/>
        <w:rPr>
          <w:rFonts w:ascii="Tahoma" w:hAnsi="Tahoma" w:cs="Tahoma"/>
          <w:sz w:val="20"/>
          <w:szCs w:val="20"/>
        </w:rPr>
      </w:pPr>
      <w:r w:rsidRPr="00ED6873">
        <w:rPr>
          <w:rFonts w:ascii="Tahoma" w:hAnsi="Tahoma" w:cs="Tahoma"/>
          <w:sz w:val="20"/>
          <w:szCs w:val="20"/>
        </w:rPr>
        <w:t>Entrate da payback</w:t>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t>€      1.735.969</w:t>
      </w:r>
    </w:p>
    <w:p w:rsidR="00ED6873" w:rsidRPr="00ED6873" w:rsidRDefault="00ED6873" w:rsidP="00ED6873">
      <w:pPr>
        <w:spacing w:line="360" w:lineRule="auto"/>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Pr="00ED6873">
        <w:rPr>
          <w:rFonts w:ascii="Tahoma" w:hAnsi="Tahoma" w:cs="Tahoma"/>
          <w:sz w:val="20"/>
          <w:szCs w:val="20"/>
        </w:rPr>
        <w:t>________________</w:t>
      </w:r>
    </w:p>
    <w:p w:rsidR="00ED6873" w:rsidRDefault="00ED6873" w:rsidP="00ED6873">
      <w:pPr>
        <w:spacing w:line="360" w:lineRule="auto"/>
        <w:jc w:val="both"/>
        <w:rPr>
          <w:rFonts w:ascii="Tahoma" w:hAnsi="Tahoma" w:cs="Tahoma"/>
          <w:sz w:val="20"/>
          <w:szCs w:val="20"/>
        </w:rPr>
      </w:pPr>
      <w:r w:rsidRPr="00ED6873">
        <w:rPr>
          <w:rFonts w:ascii="Tahoma" w:hAnsi="Tahoma" w:cs="Tahoma"/>
          <w:sz w:val="20"/>
          <w:szCs w:val="20"/>
        </w:rPr>
        <w:t>TOTALE</w:t>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r>
      <w:r w:rsidRPr="00ED6873">
        <w:rPr>
          <w:rFonts w:ascii="Tahoma" w:hAnsi="Tahoma" w:cs="Tahoma"/>
          <w:sz w:val="20"/>
          <w:szCs w:val="20"/>
        </w:rPr>
        <w:tab/>
        <w:t>€ 759.231.884</w:t>
      </w:r>
    </w:p>
    <w:p w:rsidR="00ED6873" w:rsidRDefault="00ED6873" w:rsidP="0061045B">
      <w:pPr>
        <w:spacing w:line="360" w:lineRule="auto"/>
        <w:jc w:val="both"/>
        <w:rPr>
          <w:rFonts w:ascii="Tahoma" w:hAnsi="Tahoma" w:cs="Tahoma"/>
          <w:sz w:val="20"/>
          <w:szCs w:val="20"/>
        </w:rPr>
      </w:pPr>
    </w:p>
    <w:p w:rsidR="00ED6873" w:rsidRDefault="00ED6873" w:rsidP="00ED6873">
      <w:pPr>
        <w:spacing w:line="360" w:lineRule="auto"/>
        <w:jc w:val="both"/>
        <w:rPr>
          <w:rFonts w:ascii="Tahoma" w:hAnsi="Tahoma" w:cs="Tahoma"/>
          <w:sz w:val="20"/>
          <w:szCs w:val="20"/>
        </w:rPr>
      </w:pPr>
      <w:r>
        <w:rPr>
          <w:rFonts w:ascii="Tahoma" w:hAnsi="Tahoma" w:cs="Tahoma"/>
          <w:sz w:val="20"/>
          <w:szCs w:val="20"/>
        </w:rPr>
        <w:t>Tale</w:t>
      </w:r>
      <w:r w:rsidRPr="00ED6873">
        <w:rPr>
          <w:rFonts w:ascii="Tahoma" w:hAnsi="Tahoma" w:cs="Tahoma"/>
          <w:sz w:val="20"/>
          <w:szCs w:val="20"/>
        </w:rPr>
        <w:t xml:space="preserve"> modulazione de</w:t>
      </w:r>
      <w:r w:rsidR="00D90793">
        <w:rPr>
          <w:rFonts w:ascii="Tahoma" w:hAnsi="Tahoma" w:cs="Tahoma"/>
          <w:sz w:val="20"/>
          <w:szCs w:val="20"/>
        </w:rPr>
        <w:t xml:space="preserve">l finanziamento dà seguito a quanto disposto con </w:t>
      </w:r>
      <w:r w:rsidRPr="00ED6873">
        <w:rPr>
          <w:rFonts w:ascii="Tahoma" w:hAnsi="Tahoma" w:cs="Tahoma"/>
          <w:sz w:val="20"/>
          <w:szCs w:val="20"/>
        </w:rPr>
        <w:t xml:space="preserve">D.G.R. n. 34-2054 ed ai successivi provvedimenti attuativi, inserendosi nella prospettiva dei piani di efficientamento economico – finanziario, di cui quello relativo all’esercizio 2018, </w:t>
      </w:r>
      <w:r w:rsidR="00D90793">
        <w:rPr>
          <w:rFonts w:ascii="Tahoma" w:hAnsi="Tahoma" w:cs="Tahoma"/>
          <w:sz w:val="20"/>
          <w:szCs w:val="20"/>
        </w:rPr>
        <w:t>redatto contestualmente alla deliberazione di Bilancio di Previsione e,</w:t>
      </w:r>
      <w:r w:rsidRPr="00ED6873">
        <w:rPr>
          <w:rFonts w:ascii="Tahoma" w:hAnsi="Tahoma" w:cs="Tahoma"/>
          <w:sz w:val="20"/>
          <w:szCs w:val="20"/>
        </w:rPr>
        <w:t xml:space="preserve"> come indicato nella predetta D.G.R. n. 113-6305/2017  “dovrà includere una specifica sezione finalizzata ad illustrare le azioni e gli interventi aziendali identificati per efficientare nel triennio – in attuazione della D.G.R. n. 35-5329 del 10.07.2017 – i presidi ospedalieri a gestione diretta”;</w:t>
      </w:r>
    </w:p>
    <w:p w:rsidR="00D90793" w:rsidRPr="00ED6873" w:rsidRDefault="00D90793" w:rsidP="00ED6873">
      <w:pPr>
        <w:spacing w:line="360" w:lineRule="auto"/>
        <w:jc w:val="both"/>
        <w:rPr>
          <w:rFonts w:ascii="Tahoma" w:hAnsi="Tahoma" w:cs="Tahoma"/>
          <w:sz w:val="20"/>
          <w:szCs w:val="20"/>
        </w:rPr>
      </w:pPr>
    </w:p>
    <w:p w:rsidR="0061045B" w:rsidRDefault="00D90793" w:rsidP="00ED6873">
      <w:pPr>
        <w:spacing w:line="360" w:lineRule="auto"/>
        <w:jc w:val="both"/>
        <w:rPr>
          <w:rFonts w:ascii="Tahoma" w:hAnsi="Tahoma" w:cs="Tahoma"/>
          <w:sz w:val="20"/>
          <w:szCs w:val="20"/>
        </w:rPr>
      </w:pPr>
      <w:r>
        <w:rPr>
          <w:rFonts w:ascii="Tahoma" w:hAnsi="Tahoma" w:cs="Tahoma"/>
          <w:sz w:val="20"/>
          <w:szCs w:val="20"/>
        </w:rPr>
        <w:t>I</w:t>
      </w:r>
      <w:r w:rsidR="00ED6873" w:rsidRPr="00ED6873">
        <w:rPr>
          <w:rFonts w:ascii="Tahoma" w:hAnsi="Tahoma" w:cs="Tahoma"/>
          <w:sz w:val="20"/>
          <w:szCs w:val="20"/>
        </w:rPr>
        <w:t>n</w:t>
      </w:r>
      <w:r>
        <w:rPr>
          <w:rFonts w:ascii="Tahoma" w:hAnsi="Tahoma" w:cs="Tahoma"/>
          <w:sz w:val="20"/>
          <w:szCs w:val="20"/>
        </w:rPr>
        <w:t xml:space="preserve"> riferimento a quanto sopra</w:t>
      </w:r>
      <w:r w:rsidR="00ED6873" w:rsidRPr="00ED6873">
        <w:rPr>
          <w:rFonts w:ascii="Tahoma" w:hAnsi="Tahoma" w:cs="Tahoma"/>
          <w:sz w:val="20"/>
          <w:szCs w:val="20"/>
        </w:rPr>
        <w:t xml:space="preserve"> l’Azienda, proseguendo nella attività di razionalizzazione della spesa corrente aziendale, ha avviato un piano di efficientamento dei Presidi Ospedalieri a gestione diretta, in considerazione sia dello specifico obiettivo posto dalla D.G.R. n. 35-5329 (Tabella B/6) sia del più ampio obiettivo previsto sul triennio 2017 -2019, teso ad assicurare una incidenza della perdita di ciascun Presidio – a seconda della tipologia (DEA I° livello o altro Presidio) compresa nei range ivi indicati;</w:t>
      </w:r>
    </w:p>
    <w:p w:rsidR="00D90793" w:rsidRDefault="00D90793" w:rsidP="00E13F58">
      <w:pPr>
        <w:spacing w:line="360" w:lineRule="auto"/>
        <w:jc w:val="both"/>
        <w:rPr>
          <w:rFonts w:ascii="Tahoma" w:hAnsi="Tahoma" w:cs="Tahoma"/>
          <w:sz w:val="20"/>
          <w:szCs w:val="20"/>
        </w:rPr>
      </w:pPr>
    </w:p>
    <w:p w:rsidR="00E13F58" w:rsidRPr="00184344" w:rsidRDefault="00E13F58" w:rsidP="00E13F58">
      <w:pPr>
        <w:spacing w:line="360" w:lineRule="auto"/>
        <w:jc w:val="both"/>
        <w:rPr>
          <w:rFonts w:ascii="Tahoma" w:hAnsi="Tahoma" w:cs="Tahoma"/>
          <w:sz w:val="20"/>
          <w:szCs w:val="20"/>
        </w:rPr>
      </w:pPr>
      <w:r w:rsidRPr="00184344">
        <w:rPr>
          <w:rFonts w:ascii="Tahoma" w:hAnsi="Tahoma" w:cs="Tahoma"/>
          <w:sz w:val="20"/>
          <w:szCs w:val="20"/>
        </w:rPr>
        <w:t>Tuttavia, come si evince dalla suddetta delibera regionale, e come confermato per vie brevi, nella quota del F.S.R. assegnata non è inclusa la copertura delle seguenti voci di costo:</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lastRenderedPageBreak/>
        <w:t xml:space="preserve">Nuovi LEA di cui al D.P.C.M. 12.01.2017 </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Mobilità personale ESACRI di cui all’art. 6 comma 7 del D.Lgs. 178/2012 non ritenendo di poter applicare d’ufficio la quota assegnata per l’esercizio 2017 con la tabella A/4 di cui alla citata D,G,R, n. 113-6305/2017</w:t>
      </w:r>
      <w:r>
        <w:rPr>
          <w:rFonts w:ascii="Tahoma" w:hAnsi="Tahoma" w:cs="Tahoma"/>
          <w:sz w:val="20"/>
          <w:szCs w:val="20"/>
        </w:rPr>
        <w:t xml:space="preserve"> </w:t>
      </w:r>
      <w:r w:rsidRPr="00D90793">
        <w:rPr>
          <w:rFonts w:ascii="Tahoma" w:hAnsi="Tahoma" w:cs="Tahoma"/>
          <w:sz w:val="20"/>
          <w:szCs w:val="20"/>
        </w:rPr>
        <w:t>(in proposito si richiama de relato quanto indicato nella D.G.R. 35-5329, ossia che “i costi relativi alla mobilità del personale ESACRI di cui all’art. 6 comma 7 del D.Lgs. 178/2012 con decorrenza 01/07/2017, ……..omissis…………………saranno coperti con successivo provvedimento regionale a seguito del trasferimento delle risorse finanziarie che dovranno essere disposte con specifico decreto del Ministero dell’Economia e delle Finanze”</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Maggiore fabbisogno economico – finanziario per investimenti in c/esercizio rispetto alla quota finalizzata indicata nella tabella B5/ter</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Prestazioni afferenti all’area socio – sanitaria (c.d. extra – LEA)</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Maggiore fabbisogno terapia eradicazione dell’epatite C</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Maggiore fabbisogno farmaci oncologici innovativi</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Maggiore fabbisogno piano nazionale vaccini</w:t>
      </w:r>
    </w:p>
    <w:p w:rsidR="00D90793" w:rsidRPr="00D90793" w:rsidRDefault="00D90793" w:rsidP="00D90793">
      <w:pPr>
        <w:numPr>
          <w:ilvl w:val="0"/>
          <w:numId w:val="22"/>
        </w:numPr>
        <w:spacing w:line="360" w:lineRule="auto"/>
        <w:jc w:val="both"/>
        <w:rPr>
          <w:rFonts w:ascii="Tahoma" w:hAnsi="Tahoma" w:cs="Tahoma"/>
          <w:sz w:val="20"/>
          <w:szCs w:val="20"/>
        </w:rPr>
      </w:pPr>
      <w:r w:rsidRPr="00D90793">
        <w:rPr>
          <w:rFonts w:ascii="Tahoma" w:hAnsi="Tahoma" w:cs="Tahoma"/>
          <w:sz w:val="20"/>
          <w:szCs w:val="20"/>
        </w:rPr>
        <w:t>Maggiori oneri derivanti da accantonamenti per contratti collettivi nazionali personale dipendente e convenzionati</w:t>
      </w:r>
    </w:p>
    <w:p w:rsidR="00E13F58" w:rsidRDefault="00D90793" w:rsidP="00D90793">
      <w:pPr>
        <w:pStyle w:val="Paragrafoelenco"/>
        <w:numPr>
          <w:ilvl w:val="0"/>
          <w:numId w:val="22"/>
        </w:numPr>
        <w:spacing w:line="360" w:lineRule="auto"/>
        <w:jc w:val="both"/>
        <w:rPr>
          <w:rFonts w:ascii="Tahoma" w:hAnsi="Tahoma" w:cs="Tahoma"/>
          <w:sz w:val="20"/>
          <w:szCs w:val="20"/>
        </w:rPr>
      </w:pPr>
      <w:r w:rsidRPr="00D90793">
        <w:rPr>
          <w:rFonts w:ascii="Tahoma" w:hAnsi="Tahoma" w:cs="Tahoma"/>
          <w:sz w:val="20"/>
          <w:szCs w:val="20"/>
        </w:rPr>
        <w:t>Oneri derivanti da attivazione 20 P.L. CAVS (Distretto Acqui – Ovada)</w:t>
      </w:r>
      <w:r>
        <w:rPr>
          <w:rFonts w:ascii="Tahoma" w:hAnsi="Tahoma" w:cs="Tahoma"/>
          <w:sz w:val="20"/>
          <w:szCs w:val="20"/>
        </w:rPr>
        <w:t>.</w:t>
      </w:r>
    </w:p>
    <w:p w:rsidR="00D90793" w:rsidRPr="00D90793" w:rsidRDefault="00D90793" w:rsidP="00D90793">
      <w:pPr>
        <w:pStyle w:val="Paragrafoelenco"/>
        <w:spacing w:line="360" w:lineRule="auto"/>
        <w:jc w:val="both"/>
        <w:rPr>
          <w:rFonts w:ascii="Tahoma" w:hAnsi="Tahoma" w:cs="Tahoma"/>
          <w:sz w:val="20"/>
          <w:szCs w:val="20"/>
        </w:rPr>
      </w:pPr>
    </w:p>
    <w:p w:rsidR="00BF2B86" w:rsidRPr="00184344" w:rsidRDefault="00BF2B86" w:rsidP="00E13F58">
      <w:pPr>
        <w:spacing w:line="360" w:lineRule="auto"/>
        <w:jc w:val="both"/>
        <w:rPr>
          <w:rFonts w:ascii="Tahoma" w:hAnsi="Tahoma" w:cs="Tahoma"/>
          <w:sz w:val="20"/>
          <w:szCs w:val="20"/>
        </w:rPr>
      </w:pPr>
      <w:r w:rsidRPr="00184344">
        <w:rPr>
          <w:rFonts w:ascii="Tahoma" w:hAnsi="Tahoma" w:cs="Tahoma"/>
          <w:sz w:val="20"/>
          <w:szCs w:val="20"/>
        </w:rPr>
        <w:t xml:space="preserve">Poiché la predisposizione del documento contabile di previsione ha richiesto l’esposizione di tutti i costi, anche in relazione alle voci non oggetto attualmente di finanziamento, il risultato economico previsto espone </w:t>
      </w:r>
      <w:r w:rsidRPr="00184344">
        <w:rPr>
          <w:rFonts w:ascii="Tahoma" w:hAnsi="Tahoma" w:cs="Tahoma"/>
          <w:b/>
          <w:sz w:val="20"/>
          <w:szCs w:val="20"/>
        </w:rPr>
        <w:t xml:space="preserve">una perdita di euro </w:t>
      </w:r>
      <w:r w:rsidR="00D90793">
        <w:rPr>
          <w:rFonts w:ascii="Tahoma" w:hAnsi="Tahoma" w:cs="Tahoma"/>
          <w:b/>
          <w:sz w:val="20"/>
          <w:szCs w:val="20"/>
        </w:rPr>
        <w:t>8.672.694</w:t>
      </w:r>
      <w:r w:rsidRPr="00184344">
        <w:rPr>
          <w:rFonts w:ascii="Tahoma" w:hAnsi="Tahoma" w:cs="Tahoma"/>
          <w:sz w:val="20"/>
          <w:szCs w:val="20"/>
        </w:rPr>
        <w:t>, da porre in relazione all’iscrizione dei seguenti costi per i quali non è stato ancora disposto analogo finanziamento:</w:t>
      </w:r>
    </w:p>
    <w:p w:rsidR="00BF2B86" w:rsidRPr="00184344" w:rsidRDefault="00BF2B86" w:rsidP="00E13F58">
      <w:pPr>
        <w:spacing w:line="360" w:lineRule="auto"/>
        <w:jc w:val="both"/>
        <w:rPr>
          <w:rFonts w:ascii="Tahoma" w:hAnsi="Tahoma" w:cs="Tahoma"/>
          <w:sz w:val="20"/>
          <w:szCs w:val="20"/>
        </w:rPr>
      </w:pP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Spesa extra – LEA (socio sanitario e sociale per soggetti in condizione di specifiche fragilità sociali): € 3.593.000;</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Spesa relativa alla mobilità del personale ESACRI: € 800.000;</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Maggiore fabbisogno terapia eradicazione dell’epatite C: € 600.000 (effetto trascinamento su 12 mesi attività gravante sull’esercizio 2017 per 7/12)</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Maggiore fabbisogno farmaci oncologici innovativi: € 1.600.000</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Maggiore fabbisogno piano nazionale vaccini: € 400.000</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Maggiori oneri derivanti da accantonamenti per contratti collettivi nazionali personale dipendente e convenzionati: € 959.693;</w:t>
      </w:r>
    </w:p>
    <w:p w:rsidR="00D90793" w:rsidRPr="00D90793" w:rsidRDefault="00D90793" w:rsidP="00D90793">
      <w:pPr>
        <w:pStyle w:val="Paragrafoelenco"/>
        <w:numPr>
          <w:ilvl w:val="0"/>
          <w:numId w:val="23"/>
        </w:numPr>
        <w:spacing w:line="360" w:lineRule="auto"/>
        <w:jc w:val="both"/>
        <w:rPr>
          <w:rFonts w:ascii="Tahoma" w:hAnsi="Tahoma" w:cs="Tahoma"/>
          <w:sz w:val="20"/>
          <w:szCs w:val="20"/>
        </w:rPr>
      </w:pPr>
      <w:r w:rsidRPr="00D90793">
        <w:rPr>
          <w:rFonts w:ascii="Tahoma" w:hAnsi="Tahoma" w:cs="Tahoma"/>
          <w:sz w:val="20"/>
          <w:szCs w:val="20"/>
        </w:rPr>
        <w:t>Oneri derivanti da attivazione 20 P.L. CAVS (Distretto Acqui – Ovada): € 720.000</w:t>
      </w:r>
    </w:p>
    <w:p w:rsidR="00BF2B86" w:rsidRDefault="00BF2B86" w:rsidP="00E13F58">
      <w:pPr>
        <w:spacing w:line="360" w:lineRule="auto"/>
        <w:jc w:val="both"/>
        <w:rPr>
          <w:rFonts w:ascii="Tahoma" w:hAnsi="Tahoma" w:cs="Tahoma"/>
          <w:sz w:val="20"/>
          <w:szCs w:val="20"/>
        </w:rPr>
      </w:pPr>
    </w:p>
    <w:p w:rsidR="00D90793" w:rsidRPr="00184344" w:rsidRDefault="00D90793" w:rsidP="00E13F58">
      <w:pPr>
        <w:spacing w:line="360" w:lineRule="auto"/>
        <w:jc w:val="both"/>
        <w:rPr>
          <w:rFonts w:ascii="Tahoma" w:hAnsi="Tahoma" w:cs="Tahoma"/>
          <w:sz w:val="20"/>
          <w:szCs w:val="20"/>
        </w:rPr>
      </w:pPr>
    </w:p>
    <w:p w:rsidR="00E13F58" w:rsidRPr="00184344" w:rsidRDefault="00BF2B86" w:rsidP="00E13F58">
      <w:pPr>
        <w:spacing w:line="360" w:lineRule="auto"/>
        <w:jc w:val="both"/>
        <w:rPr>
          <w:rFonts w:ascii="Tahoma" w:hAnsi="Tahoma" w:cs="Tahoma"/>
          <w:sz w:val="20"/>
          <w:szCs w:val="20"/>
        </w:rPr>
      </w:pPr>
      <w:r w:rsidRPr="00184344">
        <w:rPr>
          <w:rFonts w:ascii="Tahoma" w:hAnsi="Tahoma" w:cs="Tahoma"/>
          <w:sz w:val="20"/>
          <w:szCs w:val="20"/>
        </w:rPr>
        <w:t>per la quale se ne ritiene la “ammissibilità”, in deroga al principio del pareggio dei bilanci preventivi economici degli Enti del SSR (in particolare art. 20, comma 1, L.R. n. 8/1995),</w:t>
      </w:r>
      <w:r w:rsidR="00D90793">
        <w:rPr>
          <w:rFonts w:ascii="Tahoma" w:hAnsi="Tahoma" w:cs="Tahoma"/>
          <w:sz w:val="20"/>
          <w:szCs w:val="20"/>
        </w:rPr>
        <w:t>in ragione della provvisorietà dello stanziamento assegnato, come evidenziato</w:t>
      </w:r>
      <w:r w:rsidRPr="00184344">
        <w:rPr>
          <w:rFonts w:ascii="Tahoma" w:hAnsi="Tahoma" w:cs="Tahoma"/>
          <w:sz w:val="20"/>
          <w:szCs w:val="20"/>
        </w:rPr>
        <w:t xml:space="preserve"> dalla stessa Regione nella D.G.R. n. </w:t>
      </w:r>
      <w:r w:rsidR="00D90793">
        <w:rPr>
          <w:rFonts w:ascii="Tahoma" w:hAnsi="Tahoma" w:cs="Tahoma"/>
          <w:sz w:val="20"/>
          <w:szCs w:val="20"/>
        </w:rPr>
        <w:t>113-6305 citata.</w:t>
      </w:r>
    </w:p>
    <w:p w:rsidR="00E13F58" w:rsidRDefault="00E13F58" w:rsidP="0061045B">
      <w:pPr>
        <w:spacing w:line="360" w:lineRule="auto"/>
        <w:jc w:val="both"/>
        <w:rPr>
          <w:rFonts w:ascii="Tahoma" w:hAnsi="Tahoma" w:cs="Tahoma"/>
          <w:sz w:val="20"/>
          <w:szCs w:val="20"/>
        </w:rPr>
      </w:pPr>
    </w:p>
    <w:p w:rsidR="00D90793" w:rsidRDefault="00D90793" w:rsidP="0061045B">
      <w:pPr>
        <w:spacing w:line="360" w:lineRule="auto"/>
        <w:jc w:val="both"/>
        <w:rPr>
          <w:rFonts w:ascii="Tahoma" w:hAnsi="Tahoma" w:cs="Tahoma"/>
          <w:sz w:val="20"/>
          <w:szCs w:val="20"/>
        </w:rPr>
      </w:pPr>
      <w:r>
        <w:rPr>
          <w:rFonts w:ascii="Tahoma" w:hAnsi="Tahoma" w:cs="Tahoma"/>
          <w:sz w:val="20"/>
          <w:szCs w:val="20"/>
        </w:rPr>
        <w:t xml:space="preserve">Un particolare richiamo va effettuato </w:t>
      </w:r>
      <w:r w:rsidR="00075A05">
        <w:rPr>
          <w:rFonts w:ascii="Tahoma" w:hAnsi="Tahoma" w:cs="Tahoma"/>
          <w:sz w:val="20"/>
          <w:szCs w:val="20"/>
        </w:rPr>
        <w:t xml:space="preserve">in ordine al </w:t>
      </w:r>
      <w:r w:rsidR="00075A05" w:rsidRPr="00496EC4">
        <w:rPr>
          <w:rFonts w:ascii="Tahoma" w:hAnsi="Tahoma" w:cs="Tahoma"/>
          <w:b/>
          <w:sz w:val="20"/>
          <w:szCs w:val="20"/>
        </w:rPr>
        <w:t>piano investimenti</w:t>
      </w:r>
      <w:r w:rsidR="00075A05">
        <w:rPr>
          <w:rFonts w:ascii="Tahoma" w:hAnsi="Tahoma" w:cs="Tahoma"/>
          <w:sz w:val="20"/>
          <w:szCs w:val="20"/>
        </w:rPr>
        <w:t xml:space="preserve"> che, diversamente dai precedenti esercizi, è connotato da specifiche disposizioni regionali:</w:t>
      </w:r>
    </w:p>
    <w:p w:rsidR="00075A05" w:rsidRDefault="00075A05" w:rsidP="0061045B">
      <w:pPr>
        <w:spacing w:line="360" w:lineRule="auto"/>
        <w:jc w:val="both"/>
        <w:rPr>
          <w:rFonts w:ascii="Tahoma" w:hAnsi="Tahoma" w:cs="Tahoma"/>
          <w:sz w:val="20"/>
          <w:szCs w:val="20"/>
        </w:rPr>
      </w:pPr>
    </w:p>
    <w:p w:rsidR="00D90793" w:rsidRP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w:t>
      </w:r>
      <w:r w:rsidRPr="00D90793">
        <w:rPr>
          <w:rFonts w:ascii="Tahoma" w:hAnsi="Tahoma" w:cs="Tahoma"/>
          <w:sz w:val="20"/>
          <w:szCs w:val="20"/>
        </w:rPr>
        <w:tab/>
        <w:t>la Regione con la citata D.G.R. n. 35-5329/2017 aveva assegnato alle ASR (Tabella B5/Ter) “risorse destinate alla programmazione investimenti” pari, per quanto riguarda questa Azienda, a € 2.560.043,</w:t>
      </w:r>
    </w:p>
    <w:p w:rsidR="00D90793" w:rsidRP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w:t>
      </w:r>
      <w:r w:rsidRPr="00D90793">
        <w:rPr>
          <w:rFonts w:ascii="Tahoma" w:hAnsi="Tahoma" w:cs="Tahoma"/>
          <w:sz w:val="20"/>
          <w:szCs w:val="20"/>
        </w:rPr>
        <w:tab/>
        <w:t>con la successiva D.G.R. n. 113-6305/2017 tale prima tranche è stata integrata in ordine a investimenti urgenti e improcrastinabili risultando assegnata a questa Azienda l’ulteriore quota di € 2.184.059,</w:t>
      </w:r>
    </w:p>
    <w:p w:rsidR="00D90793" w:rsidRP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w:t>
      </w:r>
      <w:r w:rsidRPr="00D90793">
        <w:rPr>
          <w:rFonts w:ascii="Tahoma" w:hAnsi="Tahoma" w:cs="Tahoma"/>
          <w:sz w:val="20"/>
          <w:szCs w:val="20"/>
        </w:rPr>
        <w:tab/>
        <w:t>la quota complessiva di contributo in c/esercizio destinata ad investimenti a valere sull’esercizio 2017 è risultata pertanto pari a € 4.744.102,</w:t>
      </w:r>
    </w:p>
    <w:p w:rsidR="00D90793" w:rsidRP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w:t>
      </w:r>
      <w:r w:rsidRPr="00D90793">
        <w:rPr>
          <w:rFonts w:ascii="Tahoma" w:hAnsi="Tahoma" w:cs="Tahoma"/>
          <w:sz w:val="20"/>
          <w:szCs w:val="20"/>
        </w:rPr>
        <w:tab/>
        <w:t>la Regione, nella predetta D.G.R. 113-6305/2017, ha avuto modo di precisare - pag. 10 - che, nella predisposizione del piano investimenti 2018-2020 allegato al presente atto parte integrante e sostanziale, occorre osservarsi quanto segue:</w:t>
      </w:r>
    </w:p>
    <w:p w:rsidR="00D90793" w:rsidRP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a)</w:t>
      </w:r>
      <w:r w:rsidRPr="00D90793">
        <w:rPr>
          <w:rFonts w:ascii="Tahoma" w:hAnsi="Tahoma" w:cs="Tahoma"/>
          <w:sz w:val="20"/>
          <w:szCs w:val="20"/>
        </w:rPr>
        <w:tab/>
        <w:t>“il piano triennale degli investimenti deliberato dagli Enti del SSR nel bilancio economico preventivo non ha carattere autorizzatorio, in quanto è necessario l’iter di preventiva autorizzazione da parte della Direzione sanità per ciascuno dei singoli investimenti aziendali non previsti nei rispettivi conti economici preventivi o non finanziati da specifici contributi in c/capitale”;</w:t>
      </w:r>
    </w:p>
    <w:p w:rsidR="00D90793" w:rsidRDefault="00D90793" w:rsidP="00D90793">
      <w:pPr>
        <w:spacing w:line="360" w:lineRule="auto"/>
        <w:jc w:val="both"/>
        <w:rPr>
          <w:rFonts w:ascii="Tahoma" w:hAnsi="Tahoma" w:cs="Tahoma"/>
          <w:sz w:val="20"/>
          <w:szCs w:val="20"/>
        </w:rPr>
      </w:pPr>
      <w:r w:rsidRPr="00D90793">
        <w:rPr>
          <w:rFonts w:ascii="Tahoma" w:hAnsi="Tahoma" w:cs="Tahoma"/>
          <w:sz w:val="20"/>
          <w:szCs w:val="20"/>
        </w:rPr>
        <w:t>b)</w:t>
      </w:r>
      <w:r w:rsidRPr="00D90793">
        <w:rPr>
          <w:rFonts w:ascii="Tahoma" w:hAnsi="Tahoma" w:cs="Tahoma"/>
          <w:sz w:val="20"/>
          <w:szCs w:val="20"/>
        </w:rPr>
        <w:tab/>
        <w:t>“le risorse del fondo sanitario indistinto destinate alla programmazione investimenti che sono state assegnate agli Enti del SSR in applicazione alla D.G.R. n. 35-5329 del 10.07.2017, tabella B5/Ter, possono essere utilizzate dalle aziende sia a titolo di contributo c/esercizio per investimenti, e sia a titolo di contributo da destinare a programmi aziendali di svilu</w:t>
      </w:r>
      <w:r w:rsidR="00075A05">
        <w:rPr>
          <w:rFonts w:ascii="Tahoma" w:hAnsi="Tahoma" w:cs="Tahoma"/>
          <w:sz w:val="20"/>
          <w:szCs w:val="20"/>
        </w:rPr>
        <w:t>ppo sanitario e/o territoriale”.</w:t>
      </w:r>
    </w:p>
    <w:p w:rsidR="00075A05" w:rsidRPr="00D90793" w:rsidRDefault="00075A05" w:rsidP="00D90793">
      <w:pPr>
        <w:spacing w:line="360" w:lineRule="auto"/>
        <w:jc w:val="both"/>
        <w:rPr>
          <w:rFonts w:ascii="Tahoma" w:hAnsi="Tahoma" w:cs="Tahoma"/>
          <w:sz w:val="20"/>
          <w:szCs w:val="20"/>
        </w:rPr>
      </w:pPr>
    </w:p>
    <w:p w:rsidR="00D90793" w:rsidRDefault="00075A05" w:rsidP="00D90793">
      <w:pPr>
        <w:spacing w:line="360" w:lineRule="auto"/>
        <w:jc w:val="both"/>
        <w:rPr>
          <w:rFonts w:ascii="Tahoma" w:hAnsi="Tahoma" w:cs="Tahoma"/>
          <w:sz w:val="20"/>
          <w:szCs w:val="20"/>
        </w:rPr>
      </w:pPr>
      <w:r>
        <w:rPr>
          <w:rFonts w:ascii="Tahoma" w:hAnsi="Tahoma" w:cs="Tahoma"/>
          <w:sz w:val="20"/>
          <w:szCs w:val="20"/>
        </w:rPr>
        <w:t xml:space="preserve">In conseguenza di tali disposizioni l’Azienda ha </w:t>
      </w:r>
      <w:r w:rsidR="00D90793" w:rsidRPr="00D90793">
        <w:rPr>
          <w:rFonts w:ascii="Tahoma" w:hAnsi="Tahoma" w:cs="Tahoma"/>
          <w:sz w:val="20"/>
          <w:szCs w:val="20"/>
        </w:rPr>
        <w:t>provveduto a</w:t>
      </w:r>
      <w:r>
        <w:rPr>
          <w:rFonts w:ascii="Tahoma" w:hAnsi="Tahoma" w:cs="Tahoma"/>
          <w:sz w:val="20"/>
          <w:szCs w:val="20"/>
        </w:rPr>
        <w:t>d</w:t>
      </w:r>
      <w:r w:rsidR="00D90793" w:rsidRPr="00D90793">
        <w:rPr>
          <w:rFonts w:ascii="Tahoma" w:hAnsi="Tahoma" w:cs="Tahoma"/>
          <w:sz w:val="20"/>
          <w:szCs w:val="20"/>
        </w:rPr>
        <w:t xml:space="preserve"> articolare il piano investimenti per la parte di competenza dell’esercizio 2018, per un verso, sulla scorta delle risorse al momento effettivamente disponibili</w:t>
      </w:r>
      <w:r>
        <w:rPr>
          <w:rFonts w:ascii="Tahoma" w:hAnsi="Tahoma" w:cs="Tahoma"/>
          <w:sz w:val="20"/>
          <w:szCs w:val="20"/>
        </w:rPr>
        <w:t xml:space="preserve">, </w:t>
      </w:r>
      <w:r w:rsidR="00D90793" w:rsidRPr="00D90793">
        <w:rPr>
          <w:rFonts w:ascii="Tahoma" w:hAnsi="Tahoma" w:cs="Tahoma"/>
          <w:sz w:val="20"/>
          <w:szCs w:val="20"/>
        </w:rPr>
        <w:t>ossia quelle di cui al punto b) del capoverso precedente</w:t>
      </w:r>
      <w:r>
        <w:rPr>
          <w:rFonts w:ascii="Tahoma" w:hAnsi="Tahoma" w:cs="Tahoma"/>
          <w:sz w:val="20"/>
          <w:szCs w:val="20"/>
        </w:rPr>
        <w:t>,</w:t>
      </w:r>
      <w:r w:rsidR="00D90793" w:rsidRPr="00D90793">
        <w:rPr>
          <w:rFonts w:ascii="Tahoma" w:hAnsi="Tahoma" w:cs="Tahoma"/>
          <w:sz w:val="20"/>
          <w:szCs w:val="20"/>
        </w:rPr>
        <w:t xml:space="preserve"> pari a € 2.560.043</w:t>
      </w:r>
      <w:r>
        <w:rPr>
          <w:rFonts w:ascii="Tahoma" w:hAnsi="Tahoma" w:cs="Tahoma"/>
          <w:sz w:val="20"/>
          <w:szCs w:val="20"/>
        </w:rPr>
        <w:t>,</w:t>
      </w:r>
      <w:r w:rsidR="00D90793" w:rsidRPr="00D90793">
        <w:rPr>
          <w:rFonts w:ascii="Tahoma" w:hAnsi="Tahoma" w:cs="Tahoma"/>
          <w:sz w:val="20"/>
          <w:szCs w:val="20"/>
        </w:rPr>
        <w:t xml:space="preserve"> allineando la valorizzazione degli interventi inseriti a tale copertura e, per altro verso, esponendo il maggior fabbisogno aziendale stimato per investimenti in c/esercizio pari a € 3.331.247 senza contabilizzarlo a bilancio ma riservandosi di attivare al riguardo il necessario iter autorizzativo regionale secondo le indicazioni cui al precedente punto a);</w:t>
      </w:r>
    </w:p>
    <w:p w:rsidR="00D90793" w:rsidRPr="00184344" w:rsidRDefault="00D90793" w:rsidP="0061045B">
      <w:pPr>
        <w:spacing w:line="360" w:lineRule="auto"/>
        <w:jc w:val="both"/>
        <w:rPr>
          <w:rFonts w:ascii="Tahoma" w:hAnsi="Tahoma" w:cs="Tahoma"/>
          <w:sz w:val="20"/>
          <w:szCs w:val="20"/>
        </w:rPr>
      </w:pPr>
    </w:p>
    <w:p w:rsidR="009C0E87" w:rsidRPr="00184344" w:rsidRDefault="00BF2B86" w:rsidP="004B695D">
      <w:pPr>
        <w:spacing w:line="360" w:lineRule="auto"/>
        <w:jc w:val="both"/>
        <w:rPr>
          <w:rFonts w:ascii="Tahoma" w:hAnsi="Tahoma" w:cs="Tahoma"/>
          <w:sz w:val="20"/>
          <w:szCs w:val="20"/>
        </w:rPr>
      </w:pPr>
      <w:r w:rsidRPr="00184344">
        <w:rPr>
          <w:rFonts w:ascii="Tahoma" w:hAnsi="Tahoma" w:cs="Tahoma"/>
          <w:sz w:val="20"/>
          <w:szCs w:val="20"/>
        </w:rPr>
        <w:lastRenderedPageBreak/>
        <w:t>In considerazione di quanto sopra esposto,</w:t>
      </w:r>
      <w:r w:rsidR="00A74D83" w:rsidRPr="00184344">
        <w:rPr>
          <w:rFonts w:ascii="Tahoma" w:hAnsi="Tahoma" w:cs="Tahoma"/>
          <w:sz w:val="20"/>
          <w:szCs w:val="20"/>
        </w:rPr>
        <w:t xml:space="preserve"> e nelle more delle verifiche e dei provvedimenti conseguenti da parte dei competenti Organi regionali (ex art. 32 comma 5 del D.Lgs. 118/2011 e ex art. 20, comma 3, della L.R. n. 8/1995), il Bilancio Preventivo Economico Annuale 2017 – allegato alla presente deliberazione quale parte integrante ed sostanziale – </w:t>
      </w:r>
      <w:r w:rsidRPr="00184344">
        <w:rPr>
          <w:rFonts w:ascii="Tahoma" w:hAnsi="Tahoma" w:cs="Tahoma"/>
          <w:sz w:val="20"/>
          <w:szCs w:val="20"/>
        </w:rPr>
        <w:t xml:space="preserve"> </w:t>
      </w:r>
      <w:r w:rsidR="00BC6C57" w:rsidRPr="00184344">
        <w:rPr>
          <w:rFonts w:ascii="Tahoma" w:hAnsi="Tahoma" w:cs="Tahoma"/>
          <w:sz w:val="20"/>
          <w:szCs w:val="20"/>
        </w:rPr>
        <w:t xml:space="preserve">assume </w:t>
      </w:r>
      <w:r w:rsidR="00A74D83" w:rsidRPr="00184344">
        <w:rPr>
          <w:rFonts w:ascii="Tahoma" w:hAnsi="Tahoma" w:cs="Tahoma"/>
          <w:sz w:val="20"/>
          <w:szCs w:val="20"/>
        </w:rPr>
        <w:t>carattere</w:t>
      </w:r>
      <w:r w:rsidR="00BC6C57" w:rsidRPr="00184344">
        <w:rPr>
          <w:rFonts w:ascii="Tahoma" w:hAnsi="Tahoma" w:cs="Tahoma"/>
          <w:sz w:val="20"/>
          <w:szCs w:val="20"/>
        </w:rPr>
        <w:t xml:space="preserve"> di bilancio di previsione provvisorio.</w:t>
      </w:r>
    </w:p>
    <w:p w:rsidR="000664BF" w:rsidRPr="00184344" w:rsidRDefault="000664BF" w:rsidP="00065D14">
      <w:pPr>
        <w:spacing w:line="360" w:lineRule="auto"/>
        <w:jc w:val="both"/>
        <w:rPr>
          <w:rFonts w:ascii="Tahoma" w:hAnsi="Tahoma" w:cs="Tahoma"/>
          <w:sz w:val="20"/>
          <w:szCs w:val="20"/>
        </w:rPr>
      </w:pPr>
    </w:p>
    <w:p w:rsidR="00F830F5" w:rsidRPr="00184344" w:rsidRDefault="00A74D83" w:rsidP="00065D14">
      <w:pPr>
        <w:spacing w:line="360" w:lineRule="auto"/>
        <w:jc w:val="both"/>
        <w:rPr>
          <w:rFonts w:ascii="Tahoma" w:hAnsi="Tahoma" w:cs="Tahoma"/>
          <w:sz w:val="20"/>
          <w:szCs w:val="20"/>
        </w:rPr>
      </w:pPr>
      <w:r w:rsidRPr="00184344">
        <w:rPr>
          <w:rFonts w:ascii="Tahoma" w:hAnsi="Tahoma" w:cs="Tahoma"/>
          <w:sz w:val="20"/>
          <w:szCs w:val="20"/>
        </w:rPr>
        <w:t xml:space="preserve">Con riferimento a quanto esposto nella </w:t>
      </w:r>
      <w:r w:rsidRPr="00184344">
        <w:rPr>
          <w:rFonts w:ascii="Tahoma" w:hAnsi="Tahoma" w:cs="Tahoma"/>
          <w:b/>
          <w:sz w:val="20"/>
          <w:szCs w:val="20"/>
        </w:rPr>
        <w:t>nota illustrativa</w:t>
      </w:r>
      <w:r w:rsidRPr="00184344">
        <w:rPr>
          <w:rFonts w:ascii="Tahoma" w:hAnsi="Tahoma" w:cs="Tahoma"/>
          <w:sz w:val="20"/>
          <w:szCs w:val="20"/>
        </w:rPr>
        <w:t xml:space="preserve"> allegato d) alla presente deliberazione, redatta ai sensi dell’art. 25 del D.Lgs. 118/2011</w:t>
      </w:r>
      <w:r w:rsidR="006D291B" w:rsidRPr="00184344">
        <w:rPr>
          <w:rFonts w:ascii="Tahoma" w:hAnsi="Tahoma" w:cs="Tahoma"/>
          <w:sz w:val="20"/>
          <w:szCs w:val="20"/>
        </w:rPr>
        <w:t xml:space="preserve">, </w:t>
      </w:r>
      <w:r w:rsidRPr="00184344">
        <w:rPr>
          <w:rFonts w:ascii="Tahoma" w:hAnsi="Tahoma" w:cs="Tahoma"/>
          <w:sz w:val="20"/>
          <w:szCs w:val="20"/>
        </w:rPr>
        <w:t>il</w:t>
      </w:r>
      <w:r w:rsidR="00C06AD6" w:rsidRPr="00184344">
        <w:rPr>
          <w:rFonts w:ascii="Tahoma" w:hAnsi="Tahoma" w:cs="Tahoma"/>
          <w:sz w:val="20"/>
          <w:szCs w:val="20"/>
        </w:rPr>
        <w:t xml:space="preserve"> </w:t>
      </w:r>
      <w:r w:rsidR="00971B37" w:rsidRPr="00184344">
        <w:rPr>
          <w:rFonts w:ascii="Tahoma" w:hAnsi="Tahoma" w:cs="Tahoma"/>
          <w:sz w:val="20"/>
          <w:szCs w:val="20"/>
        </w:rPr>
        <w:t>Bilancio di previsione,</w:t>
      </w:r>
      <w:r w:rsidR="00C23CE4" w:rsidRPr="00184344">
        <w:rPr>
          <w:rFonts w:ascii="Tahoma" w:hAnsi="Tahoma" w:cs="Tahoma"/>
          <w:sz w:val="20"/>
          <w:szCs w:val="20"/>
        </w:rPr>
        <w:t xml:space="preserve"> esposto in forma aggregata sulla base della riclassificazione </w:t>
      </w:r>
      <w:r w:rsidR="00065D14" w:rsidRPr="00184344">
        <w:rPr>
          <w:rFonts w:ascii="Tahoma" w:hAnsi="Tahoma" w:cs="Tahoma"/>
          <w:sz w:val="20"/>
          <w:szCs w:val="20"/>
        </w:rPr>
        <w:t>prevista per il Conto Economico, è stato redatto mantenendo omogenei i criteri di valutazione rispetto agli esercizi precedenti, secondo i p</w:t>
      </w:r>
      <w:r w:rsidR="00F830F5" w:rsidRPr="00184344">
        <w:rPr>
          <w:rFonts w:ascii="Tahoma" w:hAnsi="Tahoma" w:cs="Tahoma"/>
          <w:sz w:val="20"/>
          <w:szCs w:val="20"/>
        </w:rPr>
        <w:t>rincipi classificati e definiti dal D. Lgs. 118/2011</w:t>
      </w:r>
      <w:r w:rsidR="00065D14" w:rsidRPr="00184344">
        <w:rPr>
          <w:rFonts w:ascii="Tahoma" w:hAnsi="Tahoma" w:cs="Tahoma"/>
          <w:sz w:val="20"/>
          <w:szCs w:val="20"/>
        </w:rPr>
        <w:t>.</w:t>
      </w:r>
    </w:p>
    <w:p w:rsidR="00065D14" w:rsidRPr="00184344" w:rsidRDefault="00F830F5" w:rsidP="006D291B">
      <w:pPr>
        <w:spacing w:line="360" w:lineRule="auto"/>
        <w:jc w:val="both"/>
        <w:rPr>
          <w:rFonts w:ascii="Tahoma" w:hAnsi="Tahoma" w:cs="Tahoma"/>
          <w:sz w:val="20"/>
          <w:szCs w:val="20"/>
        </w:rPr>
      </w:pPr>
      <w:r w:rsidRPr="00184344">
        <w:rPr>
          <w:rFonts w:ascii="Tahoma" w:hAnsi="Tahoma" w:cs="Tahoma"/>
          <w:sz w:val="20"/>
          <w:szCs w:val="20"/>
        </w:rPr>
        <w:t>La valutazione delle voci di bilancio si ispira ai principi generali di prudenza e di competenza economica, nell’ottica di una continuità dell’attività aziendale.</w:t>
      </w:r>
    </w:p>
    <w:p w:rsidR="00F830F5" w:rsidRPr="00184344" w:rsidRDefault="00F830F5" w:rsidP="006D291B">
      <w:pPr>
        <w:spacing w:line="360" w:lineRule="auto"/>
        <w:jc w:val="both"/>
        <w:rPr>
          <w:rFonts w:ascii="Tahoma" w:hAnsi="Tahoma" w:cs="Tahoma"/>
          <w:sz w:val="20"/>
          <w:szCs w:val="20"/>
        </w:rPr>
      </w:pPr>
      <w:r w:rsidRPr="00184344">
        <w:rPr>
          <w:rFonts w:ascii="Tahoma" w:hAnsi="Tahoma" w:cs="Tahoma"/>
          <w:sz w:val="20"/>
          <w:szCs w:val="20"/>
        </w:rPr>
        <w:t xml:space="preserve">In particolar modo, l’osservanza del principio di prudenza, </w:t>
      </w:r>
      <w:r w:rsidR="00A74D83" w:rsidRPr="00184344">
        <w:rPr>
          <w:rFonts w:ascii="Tahoma" w:hAnsi="Tahoma" w:cs="Tahoma"/>
          <w:sz w:val="20"/>
          <w:szCs w:val="20"/>
        </w:rPr>
        <w:t xml:space="preserve">ha </w:t>
      </w:r>
      <w:r w:rsidRPr="00184344">
        <w:rPr>
          <w:rFonts w:ascii="Tahoma" w:hAnsi="Tahoma" w:cs="Tahoma"/>
          <w:sz w:val="20"/>
          <w:szCs w:val="20"/>
        </w:rPr>
        <w:t>comporta</w:t>
      </w:r>
      <w:r w:rsidR="00A74D83" w:rsidRPr="00184344">
        <w:rPr>
          <w:rFonts w:ascii="Tahoma" w:hAnsi="Tahoma" w:cs="Tahoma"/>
          <w:sz w:val="20"/>
          <w:szCs w:val="20"/>
        </w:rPr>
        <w:t>to</w:t>
      </w:r>
      <w:r w:rsidRPr="00184344">
        <w:rPr>
          <w:rFonts w:ascii="Tahoma" w:hAnsi="Tahoma" w:cs="Tahoma"/>
          <w:sz w:val="20"/>
          <w:szCs w:val="20"/>
        </w:rPr>
        <w:t xml:space="preserve"> la valutazione di ogni singola voce del bilancio preventivo.</w:t>
      </w:r>
    </w:p>
    <w:p w:rsidR="00065D14" w:rsidRPr="00184344" w:rsidRDefault="00065D14" w:rsidP="00F830F5">
      <w:pPr>
        <w:autoSpaceDE w:val="0"/>
        <w:autoSpaceDN w:val="0"/>
        <w:adjustRightInd w:val="0"/>
        <w:spacing w:line="360" w:lineRule="auto"/>
        <w:jc w:val="both"/>
        <w:rPr>
          <w:rFonts w:ascii="Tahoma" w:hAnsi="Tahoma" w:cs="Tahoma"/>
          <w:sz w:val="20"/>
          <w:szCs w:val="20"/>
        </w:rPr>
      </w:pPr>
    </w:p>
    <w:p w:rsidR="00F830F5" w:rsidRPr="00184344" w:rsidRDefault="00890839" w:rsidP="006D291B">
      <w:pPr>
        <w:spacing w:line="360" w:lineRule="auto"/>
        <w:jc w:val="both"/>
        <w:rPr>
          <w:rFonts w:ascii="Tahoma" w:hAnsi="Tahoma" w:cs="Tahoma"/>
          <w:sz w:val="20"/>
          <w:szCs w:val="20"/>
        </w:rPr>
      </w:pPr>
      <w:r w:rsidRPr="00184344">
        <w:rPr>
          <w:rFonts w:ascii="Tahoma" w:hAnsi="Tahoma" w:cs="Tahoma"/>
          <w:sz w:val="20"/>
          <w:szCs w:val="20"/>
        </w:rPr>
        <w:t xml:space="preserve">Nel </w:t>
      </w:r>
      <w:r w:rsidR="00F830F5" w:rsidRPr="00184344">
        <w:rPr>
          <w:rFonts w:ascii="Tahoma" w:hAnsi="Tahoma" w:cs="Tahoma"/>
          <w:sz w:val="20"/>
          <w:szCs w:val="20"/>
        </w:rPr>
        <w:t xml:space="preserve">piano dei </w:t>
      </w:r>
      <w:r w:rsidR="00F830F5" w:rsidRPr="00184344">
        <w:rPr>
          <w:rFonts w:ascii="Tahoma" w:hAnsi="Tahoma" w:cs="Tahoma"/>
          <w:b/>
          <w:sz w:val="20"/>
          <w:szCs w:val="20"/>
        </w:rPr>
        <w:t>flussi di cassa</w:t>
      </w:r>
      <w:r w:rsidRPr="00184344">
        <w:rPr>
          <w:rFonts w:ascii="Tahoma" w:hAnsi="Tahoma" w:cs="Tahoma"/>
          <w:sz w:val="20"/>
          <w:szCs w:val="20"/>
        </w:rPr>
        <w:t>, allegato alla deliberazione del bilancio di previsione provvisorio, n</w:t>
      </w:r>
      <w:r w:rsidR="00F830F5" w:rsidRPr="00184344">
        <w:rPr>
          <w:rFonts w:ascii="Tahoma" w:hAnsi="Tahoma" w:cs="Tahoma"/>
          <w:sz w:val="20"/>
          <w:szCs w:val="20"/>
        </w:rPr>
        <w:t>on sono stati considerati –</w:t>
      </w:r>
      <w:r w:rsidR="00065D14" w:rsidRPr="00184344">
        <w:rPr>
          <w:rFonts w:ascii="Tahoma" w:hAnsi="Tahoma" w:cs="Tahoma"/>
          <w:sz w:val="20"/>
          <w:szCs w:val="20"/>
        </w:rPr>
        <w:t xml:space="preserve"> non avendo sufficienti elementi per la previsione</w:t>
      </w:r>
      <w:r w:rsidR="00F830F5" w:rsidRPr="00184344">
        <w:rPr>
          <w:rFonts w:ascii="Tahoma" w:hAnsi="Tahoma" w:cs="Tahoma"/>
          <w:sz w:val="20"/>
          <w:szCs w:val="20"/>
        </w:rPr>
        <w:t xml:space="preserve"> – eventuali trasferimenti straordinari o altri incassi di crediti vs Regione</w:t>
      </w:r>
      <w:r w:rsidR="00971B37" w:rsidRPr="00184344">
        <w:rPr>
          <w:rFonts w:ascii="Tahoma" w:hAnsi="Tahoma" w:cs="Tahoma"/>
          <w:sz w:val="20"/>
          <w:szCs w:val="20"/>
        </w:rPr>
        <w:t xml:space="preserve"> relativi ad anni precedenti.</w:t>
      </w:r>
    </w:p>
    <w:p w:rsidR="006D291B" w:rsidRPr="00184344" w:rsidRDefault="006D291B" w:rsidP="00F830F5">
      <w:pPr>
        <w:autoSpaceDE w:val="0"/>
        <w:autoSpaceDN w:val="0"/>
        <w:adjustRightInd w:val="0"/>
        <w:spacing w:line="360" w:lineRule="auto"/>
        <w:jc w:val="both"/>
        <w:rPr>
          <w:rFonts w:ascii="Tahoma" w:hAnsi="Tahoma" w:cs="Tahoma"/>
          <w:sz w:val="20"/>
          <w:szCs w:val="20"/>
        </w:rPr>
      </w:pPr>
    </w:p>
    <w:p w:rsidR="00F830F5" w:rsidRPr="00184344" w:rsidRDefault="006D291B" w:rsidP="00F830F5">
      <w:pPr>
        <w:autoSpaceDE w:val="0"/>
        <w:autoSpaceDN w:val="0"/>
        <w:adjustRightInd w:val="0"/>
        <w:spacing w:line="360" w:lineRule="auto"/>
        <w:jc w:val="both"/>
        <w:rPr>
          <w:rFonts w:ascii="Tahoma" w:hAnsi="Tahoma" w:cs="Tahoma"/>
          <w:sz w:val="20"/>
          <w:szCs w:val="20"/>
        </w:rPr>
      </w:pPr>
      <w:r w:rsidRPr="00184344">
        <w:rPr>
          <w:rFonts w:ascii="Tahoma" w:hAnsi="Tahoma" w:cs="Tahoma"/>
          <w:sz w:val="20"/>
          <w:szCs w:val="20"/>
        </w:rPr>
        <w:t xml:space="preserve">La definizione dei </w:t>
      </w:r>
      <w:r w:rsidR="00F830F5" w:rsidRPr="00184344">
        <w:rPr>
          <w:rFonts w:ascii="Tahoma" w:hAnsi="Tahoma" w:cs="Tahoma"/>
          <w:b/>
          <w:sz w:val="20"/>
          <w:szCs w:val="20"/>
        </w:rPr>
        <w:t>costi di produzione</w:t>
      </w:r>
      <w:r w:rsidR="00F830F5" w:rsidRPr="00184344">
        <w:rPr>
          <w:rFonts w:ascii="Tahoma" w:hAnsi="Tahoma" w:cs="Tahoma"/>
          <w:sz w:val="20"/>
          <w:szCs w:val="20"/>
        </w:rPr>
        <w:t xml:space="preserve"> attesi è stata </w:t>
      </w:r>
      <w:r w:rsidRPr="00184344">
        <w:rPr>
          <w:rFonts w:ascii="Tahoma" w:hAnsi="Tahoma" w:cs="Tahoma"/>
          <w:sz w:val="20"/>
          <w:szCs w:val="20"/>
        </w:rPr>
        <w:t xml:space="preserve">oggetto di </w:t>
      </w:r>
      <w:r w:rsidR="00075A05">
        <w:rPr>
          <w:rFonts w:ascii="Tahoma" w:hAnsi="Tahoma" w:cs="Tahoma"/>
          <w:sz w:val="20"/>
          <w:szCs w:val="20"/>
        </w:rPr>
        <w:t xml:space="preserve">analisi con i servizi ordinatori di spesa, a cui è stato richiesto di esprimere il fabbisogno risultante dalle richieste dei centri di responsabilità, anche ai fini della successiva attribuzione del budget, nonché di </w:t>
      </w:r>
      <w:r w:rsidRPr="00184344">
        <w:rPr>
          <w:rFonts w:ascii="Tahoma" w:hAnsi="Tahoma" w:cs="Tahoma"/>
          <w:sz w:val="20"/>
          <w:szCs w:val="20"/>
        </w:rPr>
        <w:t xml:space="preserve">verifica, di stima </w:t>
      </w:r>
      <w:r w:rsidR="00F830F5" w:rsidRPr="00184344">
        <w:rPr>
          <w:rFonts w:ascii="Tahoma" w:hAnsi="Tahoma" w:cs="Tahoma"/>
          <w:sz w:val="20"/>
          <w:szCs w:val="20"/>
        </w:rPr>
        <w:t xml:space="preserve">e valutazione puntuale, </w:t>
      </w:r>
      <w:r w:rsidR="00696825" w:rsidRPr="00184344">
        <w:rPr>
          <w:rFonts w:ascii="Tahoma" w:hAnsi="Tahoma" w:cs="Tahoma"/>
          <w:sz w:val="20"/>
          <w:szCs w:val="20"/>
        </w:rPr>
        <w:t>partendo da</w:t>
      </w:r>
      <w:r w:rsidR="00F830F5" w:rsidRPr="00184344">
        <w:rPr>
          <w:rFonts w:ascii="Tahoma" w:hAnsi="Tahoma" w:cs="Tahoma"/>
          <w:sz w:val="20"/>
          <w:szCs w:val="20"/>
        </w:rPr>
        <w:t xml:space="preserve">i costi storici, (costi aziendali fissi e ricorrenti), </w:t>
      </w:r>
      <w:r w:rsidR="00696825" w:rsidRPr="00184344">
        <w:rPr>
          <w:rFonts w:ascii="Tahoma" w:hAnsi="Tahoma" w:cs="Tahoma"/>
          <w:sz w:val="20"/>
          <w:szCs w:val="20"/>
        </w:rPr>
        <w:t xml:space="preserve">dalla considerazione delle variazioni intervenute con </w:t>
      </w:r>
      <w:r w:rsidR="00F830F5" w:rsidRPr="00184344">
        <w:rPr>
          <w:rFonts w:ascii="Tahoma" w:hAnsi="Tahoma" w:cs="Tahoma"/>
          <w:sz w:val="20"/>
          <w:szCs w:val="20"/>
        </w:rPr>
        <w:t>nuove normative</w:t>
      </w:r>
      <w:r w:rsidR="00696825" w:rsidRPr="00184344">
        <w:rPr>
          <w:rFonts w:ascii="Tahoma" w:hAnsi="Tahoma" w:cs="Tahoma"/>
          <w:sz w:val="20"/>
          <w:szCs w:val="20"/>
        </w:rPr>
        <w:t xml:space="preserve"> o disposizioni in materia regionale</w:t>
      </w:r>
      <w:r w:rsidR="00075A05">
        <w:rPr>
          <w:rFonts w:ascii="Tahoma" w:hAnsi="Tahoma" w:cs="Tahoma"/>
          <w:sz w:val="20"/>
          <w:szCs w:val="20"/>
        </w:rPr>
        <w:t xml:space="preserve"> </w:t>
      </w:r>
      <w:r w:rsidR="00696825" w:rsidRPr="00184344">
        <w:rPr>
          <w:rFonts w:ascii="Tahoma" w:hAnsi="Tahoma" w:cs="Tahoma"/>
          <w:sz w:val="20"/>
          <w:szCs w:val="20"/>
        </w:rPr>
        <w:t xml:space="preserve">e dalle azioni descritte </w:t>
      </w:r>
      <w:r w:rsidR="00F830F5" w:rsidRPr="00184344">
        <w:rPr>
          <w:rFonts w:ascii="Tahoma" w:hAnsi="Tahoma" w:cs="Tahoma"/>
          <w:sz w:val="20"/>
          <w:szCs w:val="20"/>
        </w:rPr>
        <w:t xml:space="preserve">nel piano </w:t>
      </w:r>
      <w:r w:rsidR="00696825" w:rsidRPr="00184344">
        <w:rPr>
          <w:rFonts w:ascii="Tahoma" w:hAnsi="Tahoma" w:cs="Tahoma"/>
          <w:sz w:val="20"/>
          <w:szCs w:val="20"/>
        </w:rPr>
        <w:t>di efficientamento</w:t>
      </w:r>
      <w:r w:rsidRPr="00184344">
        <w:rPr>
          <w:rFonts w:ascii="Tahoma" w:hAnsi="Tahoma" w:cs="Tahoma"/>
          <w:sz w:val="20"/>
          <w:szCs w:val="20"/>
        </w:rPr>
        <w:t xml:space="preserve"> per il rientro dal disavanzo, qui di seguito sinteticamente richiamate:</w:t>
      </w:r>
    </w:p>
    <w:p w:rsidR="00184344" w:rsidRDefault="00184344" w:rsidP="004F3BD1">
      <w:pPr>
        <w:spacing w:line="360" w:lineRule="auto"/>
        <w:jc w:val="both"/>
        <w:rPr>
          <w:rFonts w:ascii="Tahoma" w:hAnsi="Tahoma" w:cs="Tahoma"/>
          <w:sz w:val="20"/>
          <w:szCs w:val="20"/>
        </w:rPr>
      </w:pPr>
      <w:r>
        <w:rPr>
          <w:rFonts w:ascii="Tahoma" w:hAnsi="Tahoma" w:cs="Tahoma"/>
          <w:sz w:val="20"/>
          <w:szCs w:val="20"/>
        </w:rPr>
        <w:br w:type="page"/>
      </w:r>
    </w:p>
    <w:p w:rsidR="002228EF" w:rsidRDefault="002228EF" w:rsidP="004F3BD1">
      <w:pPr>
        <w:spacing w:line="360" w:lineRule="auto"/>
        <w:jc w:val="both"/>
        <w:rPr>
          <w:rFonts w:ascii="Tahoma" w:hAnsi="Tahoma" w:cs="Tahoma"/>
          <w:sz w:val="20"/>
          <w:szCs w:val="20"/>
        </w:rPr>
      </w:pPr>
    </w:p>
    <w:p w:rsidR="008E545C" w:rsidRDefault="008E545C" w:rsidP="004F3BD1">
      <w:pPr>
        <w:spacing w:line="360" w:lineRule="auto"/>
        <w:jc w:val="both"/>
        <w:rPr>
          <w:rFonts w:ascii="Tahoma" w:hAnsi="Tahoma" w:cs="Tahoma"/>
          <w:sz w:val="20"/>
          <w:szCs w:val="20"/>
        </w:rPr>
      </w:pPr>
    </w:p>
    <w:p w:rsidR="008E545C" w:rsidRPr="00184344" w:rsidRDefault="008E545C" w:rsidP="004F3BD1">
      <w:pPr>
        <w:spacing w:line="360" w:lineRule="auto"/>
        <w:jc w:val="both"/>
        <w:rPr>
          <w:rFonts w:ascii="Tahoma" w:hAnsi="Tahoma" w:cs="Tahoma"/>
          <w:sz w:val="20"/>
          <w:szCs w:val="20"/>
        </w:rPr>
      </w:pPr>
    </w:p>
    <w:p w:rsidR="006D291B" w:rsidRPr="00184344" w:rsidRDefault="006D291B" w:rsidP="006D291B">
      <w:pPr>
        <w:pStyle w:val="Titolo1"/>
        <w:rPr>
          <w:rFonts w:ascii="Tahoma" w:hAnsi="Tahoma" w:cs="Tahoma"/>
          <w:szCs w:val="20"/>
        </w:rPr>
      </w:pPr>
      <w:bookmarkStart w:id="1" w:name="_Toc472089275"/>
      <w:r w:rsidRPr="00184344">
        <w:rPr>
          <w:rFonts w:ascii="Tahoma" w:hAnsi="Tahoma" w:cs="Tahoma"/>
          <w:szCs w:val="20"/>
        </w:rPr>
        <w:t>MANOVRE DI EFFICIENTAMENTO 201</w:t>
      </w:r>
      <w:bookmarkEnd w:id="1"/>
      <w:r w:rsidR="00075A05">
        <w:rPr>
          <w:rFonts w:ascii="Tahoma" w:hAnsi="Tahoma" w:cs="Tahoma"/>
          <w:szCs w:val="20"/>
        </w:rPr>
        <w:t>8</w:t>
      </w:r>
      <w:r w:rsidRPr="00184344">
        <w:rPr>
          <w:rFonts w:ascii="Tahoma" w:hAnsi="Tahoma" w:cs="Tahoma"/>
          <w:szCs w:val="20"/>
        </w:rPr>
        <w:t xml:space="preserve"> (importo €/mln)</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992"/>
        <w:gridCol w:w="1276"/>
        <w:gridCol w:w="1418"/>
        <w:gridCol w:w="1382"/>
      </w:tblGrid>
      <w:tr w:rsidR="00075A05" w:rsidRPr="00664CF4" w:rsidTr="00C472E2">
        <w:tc>
          <w:tcPr>
            <w:tcW w:w="4786" w:type="dxa"/>
            <w:shd w:val="pct5" w:color="auto" w:fill="auto"/>
            <w:vAlign w:val="center"/>
          </w:tcPr>
          <w:p w:rsidR="00075A05" w:rsidRPr="00664CF4" w:rsidRDefault="00075A05" w:rsidP="00C472E2">
            <w:pPr>
              <w:rPr>
                <w:rFonts w:cs="Arial"/>
                <w:b/>
                <w:sz w:val="18"/>
              </w:rPr>
            </w:pPr>
          </w:p>
        </w:tc>
        <w:tc>
          <w:tcPr>
            <w:tcW w:w="992" w:type="dxa"/>
            <w:shd w:val="pct5" w:color="auto" w:fill="auto"/>
            <w:vAlign w:val="center"/>
          </w:tcPr>
          <w:p w:rsidR="00075A05" w:rsidRPr="00664CF4" w:rsidRDefault="00075A05" w:rsidP="00C472E2">
            <w:pPr>
              <w:jc w:val="center"/>
              <w:rPr>
                <w:rFonts w:cs="Arial"/>
                <w:b/>
                <w:sz w:val="18"/>
              </w:rPr>
            </w:pPr>
            <w:r w:rsidRPr="00664CF4">
              <w:rPr>
                <w:rFonts w:cs="Arial"/>
                <w:b/>
                <w:sz w:val="18"/>
              </w:rPr>
              <w:t>Tipo Manovra *</w:t>
            </w:r>
          </w:p>
        </w:tc>
        <w:tc>
          <w:tcPr>
            <w:tcW w:w="1276" w:type="dxa"/>
            <w:shd w:val="pct5" w:color="auto" w:fill="auto"/>
            <w:vAlign w:val="center"/>
          </w:tcPr>
          <w:p w:rsidR="00075A05" w:rsidRPr="00664CF4" w:rsidRDefault="00075A05" w:rsidP="00C472E2">
            <w:pPr>
              <w:jc w:val="center"/>
              <w:rPr>
                <w:rFonts w:cs="Arial"/>
                <w:b/>
                <w:sz w:val="18"/>
              </w:rPr>
            </w:pPr>
            <w:r w:rsidRPr="00664CF4">
              <w:rPr>
                <w:rFonts w:cs="Arial"/>
                <w:b/>
                <w:sz w:val="18"/>
              </w:rPr>
              <w:t>Impatto sui Ricavi</w:t>
            </w:r>
          </w:p>
          <w:p w:rsidR="00075A05" w:rsidRPr="00664CF4" w:rsidRDefault="00075A05" w:rsidP="00C472E2">
            <w:pPr>
              <w:jc w:val="center"/>
              <w:rPr>
                <w:rFonts w:cs="Arial"/>
                <w:b/>
                <w:sz w:val="18"/>
              </w:rPr>
            </w:pPr>
          </w:p>
        </w:tc>
        <w:tc>
          <w:tcPr>
            <w:tcW w:w="1418" w:type="dxa"/>
            <w:shd w:val="pct5" w:color="auto" w:fill="auto"/>
            <w:vAlign w:val="center"/>
          </w:tcPr>
          <w:p w:rsidR="00075A05" w:rsidRPr="00664CF4" w:rsidRDefault="00075A05" w:rsidP="00C472E2">
            <w:pPr>
              <w:jc w:val="center"/>
              <w:rPr>
                <w:rFonts w:cs="Arial"/>
                <w:b/>
                <w:sz w:val="18"/>
              </w:rPr>
            </w:pPr>
            <w:r w:rsidRPr="00664CF4">
              <w:rPr>
                <w:rFonts w:cs="Arial"/>
                <w:b/>
                <w:sz w:val="18"/>
              </w:rPr>
              <w:t>Impatto sui Costi</w:t>
            </w:r>
          </w:p>
          <w:p w:rsidR="00075A05" w:rsidRPr="00664CF4" w:rsidRDefault="00075A05" w:rsidP="00C472E2">
            <w:pPr>
              <w:jc w:val="center"/>
              <w:rPr>
                <w:rFonts w:cs="Arial"/>
                <w:b/>
                <w:sz w:val="18"/>
              </w:rPr>
            </w:pPr>
          </w:p>
        </w:tc>
        <w:tc>
          <w:tcPr>
            <w:tcW w:w="1382" w:type="dxa"/>
            <w:shd w:val="pct5" w:color="auto" w:fill="auto"/>
            <w:vAlign w:val="center"/>
          </w:tcPr>
          <w:p w:rsidR="00075A05" w:rsidRPr="00664CF4" w:rsidRDefault="00075A05" w:rsidP="00C472E2">
            <w:pPr>
              <w:jc w:val="center"/>
              <w:rPr>
                <w:rFonts w:cs="Arial"/>
                <w:b/>
                <w:sz w:val="18"/>
              </w:rPr>
            </w:pPr>
            <w:r w:rsidRPr="00664CF4">
              <w:rPr>
                <w:rFonts w:cs="Arial"/>
                <w:b/>
                <w:sz w:val="18"/>
              </w:rPr>
              <w:t>Saldo Netto</w:t>
            </w:r>
          </w:p>
        </w:tc>
      </w:tr>
      <w:tr w:rsidR="00075A05" w:rsidRPr="00664CF4" w:rsidTr="00C472E2">
        <w:tc>
          <w:tcPr>
            <w:tcW w:w="4786" w:type="dxa"/>
            <w:shd w:val="pct5" w:color="auto" w:fill="auto"/>
            <w:vAlign w:val="center"/>
          </w:tcPr>
          <w:p w:rsidR="00075A05" w:rsidRPr="00664CF4" w:rsidRDefault="00075A05" w:rsidP="00C472E2">
            <w:pPr>
              <w:rPr>
                <w:rFonts w:cs="Arial"/>
                <w:b/>
                <w:sz w:val="18"/>
              </w:rPr>
            </w:pPr>
          </w:p>
        </w:tc>
        <w:tc>
          <w:tcPr>
            <w:tcW w:w="992" w:type="dxa"/>
            <w:shd w:val="pct5" w:color="auto" w:fill="auto"/>
            <w:vAlign w:val="center"/>
          </w:tcPr>
          <w:p w:rsidR="00075A05" w:rsidRPr="00664CF4" w:rsidRDefault="00075A05" w:rsidP="00C472E2">
            <w:pPr>
              <w:jc w:val="center"/>
              <w:rPr>
                <w:rFonts w:cs="Arial"/>
                <w:b/>
                <w:sz w:val="18"/>
              </w:rPr>
            </w:pPr>
          </w:p>
        </w:tc>
        <w:tc>
          <w:tcPr>
            <w:tcW w:w="1276" w:type="dxa"/>
            <w:shd w:val="pct5" w:color="auto" w:fill="auto"/>
            <w:vAlign w:val="center"/>
          </w:tcPr>
          <w:p w:rsidR="00075A05" w:rsidRPr="00664CF4" w:rsidRDefault="00075A05" w:rsidP="00C472E2">
            <w:pPr>
              <w:jc w:val="center"/>
              <w:rPr>
                <w:rFonts w:cs="Arial"/>
                <w:b/>
                <w:sz w:val="18"/>
              </w:rPr>
            </w:pPr>
            <w:r w:rsidRPr="00664CF4">
              <w:rPr>
                <w:rFonts w:cs="Arial"/>
                <w:b/>
                <w:sz w:val="18"/>
              </w:rPr>
              <w:t>A</w:t>
            </w:r>
          </w:p>
        </w:tc>
        <w:tc>
          <w:tcPr>
            <w:tcW w:w="1418" w:type="dxa"/>
            <w:shd w:val="pct5" w:color="auto" w:fill="auto"/>
            <w:vAlign w:val="center"/>
          </w:tcPr>
          <w:p w:rsidR="00075A05" w:rsidRPr="00664CF4" w:rsidRDefault="00075A05" w:rsidP="00C472E2">
            <w:pPr>
              <w:jc w:val="center"/>
              <w:rPr>
                <w:rFonts w:cs="Arial"/>
                <w:b/>
                <w:sz w:val="18"/>
              </w:rPr>
            </w:pPr>
            <w:r w:rsidRPr="00664CF4">
              <w:rPr>
                <w:rFonts w:cs="Arial"/>
                <w:b/>
                <w:sz w:val="18"/>
              </w:rPr>
              <w:t>B</w:t>
            </w:r>
          </w:p>
        </w:tc>
        <w:tc>
          <w:tcPr>
            <w:tcW w:w="1382" w:type="dxa"/>
            <w:shd w:val="pct5" w:color="auto" w:fill="auto"/>
            <w:vAlign w:val="center"/>
          </w:tcPr>
          <w:p w:rsidR="00075A05" w:rsidRPr="00664CF4" w:rsidRDefault="00075A05" w:rsidP="00C472E2">
            <w:pPr>
              <w:jc w:val="center"/>
              <w:rPr>
                <w:rFonts w:cs="Arial"/>
                <w:b/>
                <w:sz w:val="18"/>
              </w:rPr>
            </w:pPr>
            <w:r w:rsidRPr="00664CF4">
              <w:rPr>
                <w:rFonts w:cs="Arial"/>
                <w:b/>
                <w:sz w:val="18"/>
              </w:rPr>
              <w:t>C=A-B</w:t>
            </w:r>
          </w:p>
        </w:tc>
      </w:tr>
      <w:tr w:rsidR="00075A05" w:rsidRPr="00664CF4" w:rsidTr="00C472E2">
        <w:tc>
          <w:tcPr>
            <w:tcW w:w="4786" w:type="dxa"/>
            <w:vAlign w:val="center"/>
          </w:tcPr>
          <w:p w:rsidR="00075A05" w:rsidRPr="00664CF4" w:rsidRDefault="00075A05" w:rsidP="00C472E2">
            <w:pPr>
              <w:rPr>
                <w:rFonts w:cs="Arial"/>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rPr>
          <w:trHeight w:val="470"/>
        </w:trPr>
        <w:tc>
          <w:tcPr>
            <w:tcW w:w="8472" w:type="dxa"/>
            <w:gridSpan w:val="4"/>
            <w:vAlign w:val="center"/>
          </w:tcPr>
          <w:p w:rsidR="00075A05" w:rsidRPr="00664CF4" w:rsidRDefault="00075A05" w:rsidP="00075A05">
            <w:pPr>
              <w:numPr>
                <w:ilvl w:val="0"/>
                <w:numId w:val="13"/>
              </w:numPr>
              <w:ind w:left="284" w:hanging="284"/>
              <w:rPr>
                <w:rFonts w:cs="Arial"/>
                <w:sz w:val="18"/>
                <w:szCs w:val="18"/>
              </w:rPr>
            </w:pPr>
            <w:r w:rsidRPr="00664CF4">
              <w:rPr>
                <w:rFonts w:cs="Arial"/>
                <w:b/>
                <w:sz w:val="18"/>
                <w:szCs w:val="18"/>
              </w:rPr>
              <w:t xml:space="preserve">Obiettivo di efficientamento 2018 </w:t>
            </w:r>
          </w:p>
        </w:tc>
        <w:tc>
          <w:tcPr>
            <w:tcW w:w="1382" w:type="dxa"/>
            <w:vAlign w:val="center"/>
          </w:tcPr>
          <w:p w:rsidR="00075A05" w:rsidRPr="00664CF4" w:rsidRDefault="00075A05" w:rsidP="00C472E2">
            <w:pPr>
              <w:jc w:val="center"/>
              <w:rPr>
                <w:rFonts w:cs="Arial"/>
                <w:sz w:val="18"/>
                <w:szCs w:val="18"/>
              </w:rPr>
            </w:pPr>
            <w:r w:rsidRPr="00664CF4">
              <w:rPr>
                <w:rFonts w:cs="Arial"/>
                <w:sz w:val="18"/>
                <w:szCs w:val="18"/>
              </w:rPr>
              <w:t>Non definito</w:t>
            </w:r>
          </w:p>
        </w:tc>
      </w:tr>
      <w:tr w:rsidR="00075A05" w:rsidRPr="00664CF4" w:rsidTr="00C472E2">
        <w:trPr>
          <w:trHeight w:val="450"/>
        </w:trPr>
        <w:tc>
          <w:tcPr>
            <w:tcW w:w="8472" w:type="dxa"/>
            <w:gridSpan w:val="4"/>
            <w:vAlign w:val="center"/>
          </w:tcPr>
          <w:p w:rsidR="00075A05" w:rsidRPr="00664CF4" w:rsidRDefault="00075A05" w:rsidP="00075A05">
            <w:pPr>
              <w:numPr>
                <w:ilvl w:val="0"/>
                <w:numId w:val="13"/>
              </w:numPr>
              <w:ind w:left="284" w:hanging="284"/>
              <w:rPr>
                <w:rFonts w:cs="Arial"/>
                <w:b/>
                <w:sz w:val="18"/>
                <w:szCs w:val="18"/>
              </w:rPr>
            </w:pPr>
            <w:r w:rsidRPr="00664CF4">
              <w:rPr>
                <w:rFonts w:cs="Arial"/>
                <w:b/>
                <w:sz w:val="18"/>
                <w:szCs w:val="18"/>
              </w:rPr>
              <w:t>Interventi di razionalizzazione dei fattori produttivi</w:t>
            </w:r>
          </w:p>
        </w:tc>
        <w:tc>
          <w:tcPr>
            <w:tcW w:w="1382" w:type="dxa"/>
            <w:vAlign w:val="center"/>
          </w:tcPr>
          <w:p w:rsidR="00075A05" w:rsidRPr="00664CF4" w:rsidRDefault="00075A05" w:rsidP="00C472E2">
            <w:pPr>
              <w:jc w:val="center"/>
              <w:rPr>
                <w:rFonts w:cs="Arial"/>
                <w:b/>
                <w:sz w:val="18"/>
                <w:szCs w:val="18"/>
              </w:rPr>
            </w:pPr>
          </w:p>
        </w:tc>
      </w:tr>
      <w:tr w:rsidR="00075A05" w:rsidRPr="00664CF4" w:rsidTr="00C472E2">
        <w:tc>
          <w:tcPr>
            <w:tcW w:w="4786" w:type="dxa"/>
            <w:vAlign w:val="center"/>
          </w:tcPr>
          <w:p w:rsidR="00075A05" w:rsidRPr="00664CF4" w:rsidRDefault="00075A05" w:rsidP="00C472E2">
            <w:pPr>
              <w:rPr>
                <w:rFonts w:cs="Arial"/>
                <w:sz w:val="18"/>
              </w:rPr>
            </w:pPr>
            <w:r w:rsidRPr="00664CF4">
              <w:rPr>
                <w:rFonts w:cs="Arial"/>
                <w:sz w:val="18"/>
              </w:rPr>
              <w:t>Dettaglio delle azioni individuate</w:t>
            </w: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790287" w:rsidRDefault="00075A05" w:rsidP="00C472E2">
            <w:pPr>
              <w:rPr>
                <w:rFonts w:cs="Arial"/>
                <w:sz w:val="18"/>
              </w:rPr>
            </w:pPr>
            <w:r w:rsidRPr="00790287">
              <w:rPr>
                <w:rFonts w:cs="Arial"/>
                <w:sz w:val="18"/>
              </w:rPr>
              <w:t>EFFICIENTAMENTO DELL’AREA OSPEDALIERA</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r>
              <w:rPr>
                <w:rFonts w:cs="Arial"/>
                <w:sz w:val="18"/>
                <w:szCs w:val="18"/>
              </w:rPr>
              <w:t>+1.500</w:t>
            </w: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r>
              <w:rPr>
                <w:rFonts w:cs="Arial"/>
                <w:sz w:val="18"/>
                <w:szCs w:val="18"/>
              </w:rPr>
              <w:t>+1.500</w:t>
            </w:r>
          </w:p>
        </w:tc>
      </w:tr>
      <w:tr w:rsidR="00075A05" w:rsidRPr="00664CF4" w:rsidTr="00C472E2">
        <w:tc>
          <w:tcPr>
            <w:tcW w:w="4786" w:type="dxa"/>
            <w:vAlign w:val="center"/>
          </w:tcPr>
          <w:p w:rsidR="00075A05" w:rsidRPr="00664CF4" w:rsidRDefault="00075A05" w:rsidP="00C472E2">
            <w:pPr>
              <w:tabs>
                <w:tab w:val="center" w:pos="4819"/>
              </w:tabs>
              <w:rPr>
                <w:rFonts w:cs="Arial"/>
                <w:i/>
                <w:sz w:val="18"/>
              </w:rPr>
            </w:pPr>
            <w:r w:rsidRPr="00AD1AC2">
              <w:rPr>
                <w:rFonts w:cs="Arial"/>
                <w:sz w:val="18"/>
              </w:rPr>
              <w:t>VERIFICA DELLA CONGRUITA’ TRA RICHIESTO, PRESCRITTO E SOMMINISTRATO NEI REPARTI DI DEGENZA</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r>
              <w:rPr>
                <w:rFonts w:cs="Arial"/>
                <w:sz w:val="18"/>
                <w:szCs w:val="18"/>
              </w:rPr>
              <w:t>-0,03</w:t>
            </w:r>
          </w:p>
        </w:tc>
        <w:tc>
          <w:tcPr>
            <w:tcW w:w="1382" w:type="dxa"/>
            <w:vAlign w:val="center"/>
          </w:tcPr>
          <w:p w:rsidR="00075A05" w:rsidRPr="00664CF4" w:rsidRDefault="00075A05" w:rsidP="00C472E2">
            <w:pPr>
              <w:jc w:val="center"/>
              <w:rPr>
                <w:rFonts w:cs="Arial"/>
                <w:sz w:val="18"/>
                <w:szCs w:val="18"/>
              </w:rPr>
            </w:pPr>
            <w:r>
              <w:rPr>
                <w:rFonts w:cs="Arial"/>
                <w:sz w:val="18"/>
                <w:szCs w:val="18"/>
              </w:rPr>
              <w:t>-0,03</w:t>
            </w:r>
          </w:p>
        </w:tc>
      </w:tr>
      <w:tr w:rsidR="00075A05" w:rsidRPr="00664CF4" w:rsidTr="00C472E2">
        <w:tc>
          <w:tcPr>
            <w:tcW w:w="4786" w:type="dxa"/>
            <w:vAlign w:val="center"/>
          </w:tcPr>
          <w:p w:rsidR="00075A05" w:rsidRPr="00790287" w:rsidRDefault="00075A05" w:rsidP="00C472E2">
            <w:pPr>
              <w:rPr>
                <w:rFonts w:cs="Arial"/>
              </w:rPr>
            </w:pPr>
            <w:r w:rsidRPr="00790287">
              <w:rPr>
                <w:rFonts w:cs="Arial"/>
                <w:sz w:val="18"/>
              </w:rPr>
              <w:t>INCREMENTO DELLA DISTRIBUZIONE DIRETTA</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r>
              <w:rPr>
                <w:rFonts w:cs="Arial"/>
                <w:sz w:val="18"/>
                <w:szCs w:val="18"/>
              </w:rPr>
              <w:t>-0,07</w:t>
            </w:r>
          </w:p>
        </w:tc>
        <w:tc>
          <w:tcPr>
            <w:tcW w:w="1382" w:type="dxa"/>
            <w:vAlign w:val="center"/>
          </w:tcPr>
          <w:p w:rsidR="00075A05" w:rsidRPr="00664CF4" w:rsidRDefault="00075A05" w:rsidP="00C472E2">
            <w:pPr>
              <w:jc w:val="center"/>
              <w:rPr>
                <w:rFonts w:cs="Arial"/>
                <w:sz w:val="18"/>
                <w:szCs w:val="18"/>
              </w:rPr>
            </w:pPr>
            <w:r>
              <w:rPr>
                <w:rFonts w:cs="Arial"/>
                <w:sz w:val="18"/>
                <w:szCs w:val="18"/>
              </w:rPr>
              <w:t>-0,07</w:t>
            </w:r>
          </w:p>
        </w:tc>
      </w:tr>
      <w:tr w:rsidR="00075A05" w:rsidRPr="00664CF4" w:rsidTr="00C472E2">
        <w:tc>
          <w:tcPr>
            <w:tcW w:w="4786" w:type="dxa"/>
            <w:vAlign w:val="center"/>
          </w:tcPr>
          <w:p w:rsidR="00075A05" w:rsidRPr="00790287" w:rsidRDefault="00075A05" w:rsidP="00C472E2">
            <w:pPr>
              <w:rPr>
                <w:rFonts w:cs="Arial"/>
                <w:sz w:val="18"/>
              </w:rPr>
            </w:pPr>
            <w:r w:rsidRPr="00790287">
              <w:rPr>
                <w:rFonts w:cs="Arial"/>
                <w:sz w:val="18"/>
              </w:rPr>
              <w:t xml:space="preserve">STRETTO MONITORAGGIO DEI FARMACI EROGATI </w:t>
            </w:r>
            <w:r>
              <w:rPr>
                <w:rFonts w:cs="Arial"/>
                <w:sz w:val="18"/>
              </w:rPr>
              <w:t>I</w:t>
            </w:r>
            <w:r w:rsidRPr="00790287">
              <w:rPr>
                <w:rFonts w:cs="Arial"/>
                <w:sz w:val="18"/>
              </w:rPr>
              <w:t>N DPC DIVERSI DA QUELLI AGGIUDICATI</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r>
              <w:rPr>
                <w:rFonts w:cs="Arial"/>
                <w:sz w:val="18"/>
                <w:szCs w:val="18"/>
              </w:rPr>
              <w:t>-0,03</w:t>
            </w:r>
          </w:p>
        </w:tc>
        <w:tc>
          <w:tcPr>
            <w:tcW w:w="1382" w:type="dxa"/>
            <w:vAlign w:val="center"/>
          </w:tcPr>
          <w:p w:rsidR="00075A05" w:rsidRPr="00664CF4" w:rsidRDefault="00075A05" w:rsidP="00C472E2">
            <w:pPr>
              <w:jc w:val="center"/>
              <w:rPr>
                <w:rFonts w:cs="Arial"/>
                <w:sz w:val="18"/>
                <w:szCs w:val="18"/>
              </w:rPr>
            </w:pPr>
            <w:r>
              <w:rPr>
                <w:rFonts w:cs="Arial"/>
                <w:sz w:val="18"/>
                <w:szCs w:val="18"/>
              </w:rPr>
              <w:t>-0,03</w:t>
            </w:r>
          </w:p>
        </w:tc>
      </w:tr>
      <w:tr w:rsidR="00075A05" w:rsidRPr="00664CF4" w:rsidTr="00C472E2">
        <w:tc>
          <w:tcPr>
            <w:tcW w:w="4786" w:type="dxa"/>
            <w:vAlign w:val="center"/>
          </w:tcPr>
          <w:p w:rsidR="00075A05" w:rsidRPr="00664CF4" w:rsidRDefault="00075A05" w:rsidP="00C472E2">
            <w:pPr>
              <w:rPr>
                <w:rFonts w:cs="Arial"/>
                <w:i/>
                <w:sz w:val="18"/>
              </w:rPr>
            </w:pPr>
            <w:r w:rsidRPr="00F14350">
              <w:rPr>
                <w:sz w:val="18"/>
              </w:rPr>
              <w:t>RIORGANIZZAZIONE LOGISTICA DELLE SEDI DI ATTIVITÀ</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r>
              <w:rPr>
                <w:rFonts w:cs="Arial"/>
                <w:sz w:val="18"/>
                <w:szCs w:val="18"/>
              </w:rPr>
              <w:t>-0,19</w:t>
            </w:r>
          </w:p>
        </w:tc>
        <w:tc>
          <w:tcPr>
            <w:tcW w:w="1382" w:type="dxa"/>
            <w:vAlign w:val="center"/>
          </w:tcPr>
          <w:p w:rsidR="00075A05" w:rsidRPr="00664CF4" w:rsidRDefault="00075A05" w:rsidP="00C472E2">
            <w:pPr>
              <w:jc w:val="center"/>
              <w:rPr>
                <w:rFonts w:cs="Arial"/>
                <w:sz w:val="18"/>
                <w:szCs w:val="18"/>
              </w:rPr>
            </w:pPr>
            <w:r>
              <w:rPr>
                <w:rFonts w:cs="Arial"/>
                <w:sz w:val="18"/>
                <w:szCs w:val="18"/>
              </w:rPr>
              <w:t>-0,19</w:t>
            </w:r>
          </w:p>
        </w:tc>
      </w:tr>
      <w:tr w:rsidR="00075A05" w:rsidRPr="00664CF4" w:rsidTr="00C472E2">
        <w:tc>
          <w:tcPr>
            <w:tcW w:w="4786" w:type="dxa"/>
            <w:vAlign w:val="center"/>
          </w:tcPr>
          <w:p w:rsidR="00075A05" w:rsidRPr="00B10843" w:rsidRDefault="00075A05" w:rsidP="00C472E2">
            <w:pPr>
              <w:rPr>
                <w:rFonts w:cs="Arial"/>
                <w:sz w:val="18"/>
              </w:rPr>
            </w:pPr>
            <w:r w:rsidRPr="00B10843">
              <w:rPr>
                <w:rFonts w:cs="Arial"/>
                <w:sz w:val="18"/>
              </w:rPr>
              <w:t>BENCHMARK CON ASO AL E ASL AT RELATIVAMENTE AI PREZZI DI AGGIUDICAZIONE DEI DISPOSITIVI MEDICI IMPIANTABILI (CARDIOLOGICI ED ORTOPEDICI)</w:t>
            </w:r>
          </w:p>
        </w:tc>
        <w:tc>
          <w:tcPr>
            <w:tcW w:w="992" w:type="dxa"/>
            <w:vAlign w:val="center"/>
          </w:tcPr>
          <w:p w:rsidR="00075A05" w:rsidRPr="00664CF4" w:rsidRDefault="00075A05" w:rsidP="00C472E2">
            <w:pPr>
              <w:jc w:val="center"/>
              <w:rPr>
                <w:rFonts w:cs="Arial"/>
                <w:sz w:val="18"/>
              </w:rPr>
            </w:pPr>
            <w:r>
              <w:rPr>
                <w:rFonts w:cs="Arial"/>
                <w:sz w:val="18"/>
              </w:rPr>
              <w:t>R</w:t>
            </w: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r>
              <w:rPr>
                <w:rFonts w:cs="Arial"/>
                <w:sz w:val="18"/>
                <w:szCs w:val="18"/>
              </w:rPr>
              <w:t>-0,3</w:t>
            </w:r>
          </w:p>
        </w:tc>
        <w:tc>
          <w:tcPr>
            <w:tcW w:w="1382" w:type="dxa"/>
            <w:vAlign w:val="center"/>
          </w:tcPr>
          <w:p w:rsidR="00075A05" w:rsidRPr="00664CF4" w:rsidRDefault="00075A05" w:rsidP="00C472E2">
            <w:pPr>
              <w:jc w:val="center"/>
              <w:rPr>
                <w:rFonts w:cs="Arial"/>
                <w:sz w:val="18"/>
                <w:szCs w:val="18"/>
              </w:rPr>
            </w:pPr>
            <w:r>
              <w:rPr>
                <w:rFonts w:cs="Arial"/>
                <w:sz w:val="18"/>
                <w:szCs w:val="18"/>
              </w:rPr>
              <w:t>-0,3</w:t>
            </w:r>
          </w:p>
        </w:tc>
      </w:tr>
      <w:tr w:rsidR="00075A05" w:rsidRPr="00664CF4" w:rsidTr="00C472E2">
        <w:tc>
          <w:tcPr>
            <w:tcW w:w="4786" w:type="dxa"/>
            <w:vAlign w:val="center"/>
          </w:tcPr>
          <w:p w:rsidR="00075A05" w:rsidRPr="00664CF4" w:rsidRDefault="00075A05" w:rsidP="00C472E2">
            <w:pPr>
              <w:rPr>
                <w:i/>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664CF4" w:rsidRDefault="00075A05" w:rsidP="00C472E2">
            <w:pPr>
              <w:rPr>
                <w:rFonts w:cs="Arial"/>
                <w:i/>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664CF4" w:rsidRDefault="00075A05" w:rsidP="00C472E2">
            <w:pPr>
              <w:rPr>
                <w:rFonts w:cs="Arial"/>
                <w:i/>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rPr>
          <w:trHeight w:val="409"/>
        </w:trPr>
        <w:tc>
          <w:tcPr>
            <w:tcW w:w="8472" w:type="dxa"/>
            <w:gridSpan w:val="4"/>
            <w:vAlign w:val="center"/>
          </w:tcPr>
          <w:p w:rsidR="00075A05" w:rsidRPr="00664CF4" w:rsidRDefault="00075A05" w:rsidP="00075A05">
            <w:pPr>
              <w:numPr>
                <w:ilvl w:val="0"/>
                <w:numId w:val="13"/>
              </w:numPr>
              <w:ind w:left="284" w:hanging="284"/>
              <w:rPr>
                <w:rFonts w:cs="Arial"/>
                <w:b/>
                <w:sz w:val="18"/>
                <w:szCs w:val="18"/>
              </w:rPr>
            </w:pPr>
            <w:r w:rsidRPr="00664CF4">
              <w:rPr>
                <w:rFonts w:cs="Arial"/>
                <w:b/>
                <w:sz w:val="18"/>
                <w:szCs w:val="18"/>
              </w:rPr>
              <w:t>Interventi di sistema</w:t>
            </w:r>
          </w:p>
        </w:tc>
        <w:tc>
          <w:tcPr>
            <w:tcW w:w="1382" w:type="dxa"/>
            <w:vAlign w:val="center"/>
          </w:tcPr>
          <w:p w:rsidR="00075A05" w:rsidRPr="00664CF4" w:rsidRDefault="00075A05" w:rsidP="00C472E2">
            <w:pPr>
              <w:jc w:val="center"/>
              <w:rPr>
                <w:rFonts w:cs="Arial"/>
                <w:b/>
                <w:sz w:val="18"/>
                <w:szCs w:val="18"/>
              </w:rPr>
            </w:pPr>
          </w:p>
        </w:tc>
      </w:tr>
      <w:tr w:rsidR="00075A05" w:rsidRPr="00664CF4" w:rsidTr="00C472E2">
        <w:tc>
          <w:tcPr>
            <w:tcW w:w="4786" w:type="dxa"/>
            <w:vAlign w:val="center"/>
          </w:tcPr>
          <w:p w:rsidR="00075A05" w:rsidRPr="00664CF4" w:rsidRDefault="00075A05" w:rsidP="00C472E2">
            <w:pPr>
              <w:rPr>
                <w:rFonts w:cs="Arial"/>
                <w:sz w:val="18"/>
              </w:rPr>
            </w:pPr>
            <w:r w:rsidRPr="00664CF4">
              <w:rPr>
                <w:rFonts w:cs="Arial"/>
                <w:sz w:val="18"/>
              </w:rPr>
              <w:t>Dettaglio delle azioni individuate</w:t>
            </w: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664CF4" w:rsidRDefault="00075A05" w:rsidP="00C472E2">
            <w:pPr>
              <w:rPr>
                <w:rFonts w:cs="Arial"/>
                <w:i/>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664CF4" w:rsidRDefault="00075A05" w:rsidP="00C472E2">
            <w:pPr>
              <w:rPr>
                <w:rFonts w:cs="Arial"/>
                <w:i/>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c>
          <w:tcPr>
            <w:tcW w:w="4786" w:type="dxa"/>
            <w:vAlign w:val="center"/>
          </w:tcPr>
          <w:p w:rsidR="00075A05" w:rsidRPr="00664CF4" w:rsidRDefault="00075A05" w:rsidP="00C472E2">
            <w:pPr>
              <w:rPr>
                <w:rFonts w:cs="Arial"/>
                <w:i/>
                <w:sz w:val="18"/>
              </w:rPr>
            </w:pPr>
          </w:p>
        </w:tc>
        <w:tc>
          <w:tcPr>
            <w:tcW w:w="992" w:type="dxa"/>
            <w:vAlign w:val="center"/>
          </w:tcPr>
          <w:p w:rsidR="00075A05" w:rsidRPr="00664CF4" w:rsidRDefault="00075A05" w:rsidP="00C472E2">
            <w:pPr>
              <w:jc w:val="center"/>
              <w:rPr>
                <w:rFonts w:cs="Arial"/>
                <w:sz w:val="18"/>
              </w:rPr>
            </w:pPr>
          </w:p>
        </w:tc>
        <w:tc>
          <w:tcPr>
            <w:tcW w:w="1276" w:type="dxa"/>
            <w:vAlign w:val="center"/>
          </w:tcPr>
          <w:p w:rsidR="00075A05" w:rsidRPr="00664CF4" w:rsidRDefault="00075A05" w:rsidP="00C472E2">
            <w:pPr>
              <w:jc w:val="center"/>
              <w:rPr>
                <w:rFonts w:cs="Arial"/>
                <w:sz w:val="18"/>
                <w:szCs w:val="18"/>
              </w:rPr>
            </w:pPr>
          </w:p>
        </w:tc>
        <w:tc>
          <w:tcPr>
            <w:tcW w:w="1418" w:type="dxa"/>
            <w:vAlign w:val="center"/>
          </w:tcPr>
          <w:p w:rsidR="00075A05" w:rsidRPr="00664CF4" w:rsidRDefault="00075A05" w:rsidP="00C472E2">
            <w:pPr>
              <w:jc w:val="center"/>
              <w:rPr>
                <w:rFonts w:cs="Arial"/>
                <w:sz w:val="18"/>
                <w:szCs w:val="18"/>
              </w:rPr>
            </w:pPr>
          </w:p>
        </w:tc>
        <w:tc>
          <w:tcPr>
            <w:tcW w:w="1382" w:type="dxa"/>
            <w:vAlign w:val="center"/>
          </w:tcPr>
          <w:p w:rsidR="00075A05" w:rsidRPr="00664CF4" w:rsidRDefault="00075A05" w:rsidP="00C472E2">
            <w:pPr>
              <w:jc w:val="center"/>
              <w:rPr>
                <w:rFonts w:cs="Arial"/>
                <w:sz w:val="18"/>
                <w:szCs w:val="18"/>
              </w:rPr>
            </w:pPr>
          </w:p>
        </w:tc>
      </w:tr>
      <w:tr w:rsidR="00075A05" w:rsidRPr="00664CF4" w:rsidTr="00C472E2">
        <w:trPr>
          <w:trHeight w:val="396"/>
        </w:trPr>
        <w:tc>
          <w:tcPr>
            <w:tcW w:w="8472" w:type="dxa"/>
            <w:gridSpan w:val="4"/>
            <w:vAlign w:val="center"/>
          </w:tcPr>
          <w:p w:rsidR="00075A05" w:rsidRPr="00664CF4" w:rsidRDefault="00075A05" w:rsidP="00075A05">
            <w:pPr>
              <w:numPr>
                <w:ilvl w:val="0"/>
                <w:numId w:val="13"/>
              </w:numPr>
              <w:ind w:left="284" w:hanging="284"/>
              <w:rPr>
                <w:rFonts w:cs="Arial"/>
                <w:b/>
                <w:i/>
                <w:sz w:val="18"/>
                <w:szCs w:val="18"/>
              </w:rPr>
            </w:pPr>
            <w:r w:rsidRPr="00664CF4">
              <w:rPr>
                <w:rFonts w:cs="Arial"/>
                <w:b/>
                <w:i/>
                <w:sz w:val="18"/>
                <w:szCs w:val="18"/>
              </w:rPr>
              <w:t>Check (A+B+C)</w:t>
            </w:r>
          </w:p>
        </w:tc>
        <w:tc>
          <w:tcPr>
            <w:tcW w:w="1382" w:type="dxa"/>
            <w:vAlign w:val="center"/>
          </w:tcPr>
          <w:p w:rsidR="00075A05" w:rsidRPr="00664CF4" w:rsidRDefault="00075A05" w:rsidP="00C472E2">
            <w:pPr>
              <w:jc w:val="center"/>
              <w:rPr>
                <w:rFonts w:cs="Arial"/>
                <w:b/>
                <w:i/>
                <w:sz w:val="18"/>
                <w:szCs w:val="18"/>
              </w:rPr>
            </w:pPr>
          </w:p>
        </w:tc>
      </w:tr>
    </w:tbl>
    <w:p w:rsidR="006D291B" w:rsidRPr="001377D2" w:rsidRDefault="006D291B" w:rsidP="006D291B">
      <w:pPr>
        <w:spacing w:before="120"/>
        <w:rPr>
          <w:rFonts w:ascii="Tahoma" w:hAnsi="Tahoma" w:cs="Tahoma"/>
          <w:b/>
          <w:sz w:val="18"/>
          <w:szCs w:val="18"/>
        </w:rPr>
      </w:pPr>
    </w:p>
    <w:p w:rsidR="00075A05" w:rsidRDefault="00075A05" w:rsidP="00075A05">
      <w:pPr>
        <w:spacing w:line="360" w:lineRule="auto"/>
        <w:rPr>
          <w:rFonts w:ascii="Tahoma" w:hAnsi="Tahoma" w:cs="Tahoma"/>
          <w:sz w:val="20"/>
          <w:szCs w:val="20"/>
        </w:rPr>
      </w:pPr>
    </w:p>
    <w:p w:rsidR="00075A05" w:rsidRPr="008E545C" w:rsidRDefault="00075A05" w:rsidP="00075A05">
      <w:pPr>
        <w:spacing w:line="360" w:lineRule="auto"/>
        <w:rPr>
          <w:rFonts w:ascii="Tahoma" w:hAnsi="Tahoma" w:cs="Tahoma"/>
          <w:b/>
          <w:sz w:val="20"/>
          <w:szCs w:val="20"/>
        </w:rPr>
      </w:pPr>
      <w:r w:rsidRPr="008E545C">
        <w:rPr>
          <w:rFonts w:ascii="Tahoma" w:hAnsi="Tahoma" w:cs="Tahoma"/>
          <w:b/>
          <w:sz w:val="20"/>
          <w:szCs w:val="20"/>
        </w:rPr>
        <w:t>AZIONI DI EFFICIENTAMENTO AREA OSPEDALIERA</w:t>
      </w:r>
    </w:p>
    <w:p w:rsidR="00075A05" w:rsidRPr="00075A05" w:rsidRDefault="00F86163" w:rsidP="00F86163">
      <w:pPr>
        <w:spacing w:line="360" w:lineRule="auto"/>
        <w:jc w:val="both"/>
        <w:rPr>
          <w:rFonts w:ascii="Tahoma" w:hAnsi="Tahoma" w:cs="Tahoma"/>
          <w:sz w:val="20"/>
          <w:szCs w:val="20"/>
        </w:rPr>
      </w:pPr>
      <w:r>
        <w:rPr>
          <w:rFonts w:ascii="Tahoma" w:hAnsi="Tahoma" w:cs="Tahoma"/>
          <w:sz w:val="20"/>
          <w:szCs w:val="20"/>
        </w:rPr>
        <w:t xml:space="preserve">A fronte di </w:t>
      </w:r>
      <w:r w:rsidR="00075A05" w:rsidRPr="00075A05">
        <w:rPr>
          <w:rFonts w:ascii="Tahoma" w:hAnsi="Tahoma" w:cs="Tahoma"/>
          <w:sz w:val="20"/>
          <w:szCs w:val="20"/>
        </w:rPr>
        <w:t xml:space="preserve">un sostanziale mantenimento dei costi di produzione per farmaci e dispositivi medici </w:t>
      </w:r>
      <w:r>
        <w:rPr>
          <w:rFonts w:ascii="Tahoma" w:hAnsi="Tahoma" w:cs="Tahoma"/>
          <w:sz w:val="20"/>
          <w:szCs w:val="20"/>
        </w:rPr>
        <w:t>in ragione</w:t>
      </w:r>
      <w:r w:rsidR="00075A05" w:rsidRPr="00075A05">
        <w:rPr>
          <w:rFonts w:ascii="Tahoma" w:hAnsi="Tahoma" w:cs="Tahoma"/>
          <w:sz w:val="20"/>
          <w:szCs w:val="20"/>
        </w:rPr>
        <w:t xml:space="preserve"> dei risparmi consolidati p</w:t>
      </w:r>
      <w:r>
        <w:rPr>
          <w:rFonts w:ascii="Tahoma" w:hAnsi="Tahoma" w:cs="Tahoma"/>
          <w:sz w:val="20"/>
          <w:szCs w:val="20"/>
        </w:rPr>
        <w:t>er tali voci nel corso del 2017, per l’esercizio 2018 si stima che le azioni descritte nel Piano di efficientamento possano produrre un miglioramento quantificato in euro 1.500.000 derivante da un incremento di produzione nell’area di degenza, che trova ris</w:t>
      </w:r>
      <w:r w:rsidR="00075A05" w:rsidRPr="00075A05">
        <w:rPr>
          <w:rFonts w:ascii="Tahoma" w:hAnsi="Tahoma" w:cs="Tahoma"/>
          <w:sz w:val="20"/>
          <w:szCs w:val="20"/>
        </w:rPr>
        <w:t>contro anche nelle seguenti azioni previste sulle diverse aree ospedaliere:</w:t>
      </w:r>
    </w:p>
    <w:p w:rsidR="00F86163" w:rsidRDefault="00F86163" w:rsidP="00075A05">
      <w:pPr>
        <w:spacing w:line="360" w:lineRule="auto"/>
        <w:rPr>
          <w:rFonts w:ascii="Tahoma" w:hAnsi="Tahoma" w:cs="Tahoma"/>
          <w:sz w:val="20"/>
          <w:szCs w:val="20"/>
        </w:rPr>
      </w:pPr>
    </w:p>
    <w:p w:rsidR="008E545C" w:rsidRDefault="008E545C" w:rsidP="00075A05">
      <w:pPr>
        <w:spacing w:line="360" w:lineRule="auto"/>
        <w:rPr>
          <w:rFonts w:ascii="Tahoma" w:hAnsi="Tahoma" w:cs="Tahoma"/>
          <w:sz w:val="20"/>
          <w:szCs w:val="20"/>
        </w:rPr>
      </w:pPr>
    </w:p>
    <w:p w:rsidR="008E545C" w:rsidRDefault="008E545C" w:rsidP="00075A05">
      <w:pPr>
        <w:spacing w:line="360" w:lineRule="auto"/>
        <w:rPr>
          <w:rFonts w:ascii="Tahoma" w:hAnsi="Tahoma" w:cs="Tahoma"/>
          <w:b/>
          <w:sz w:val="20"/>
          <w:szCs w:val="20"/>
        </w:rPr>
      </w:pPr>
    </w:p>
    <w:p w:rsidR="00075A05" w:rsidRPr="00F86163" w:rsidRDefault="00075A05" w:rsidP="00075A05">
      <w:pPr>
        <w:spacing w:line="360" w:lineRule="auto"/>
        <w:rPr>
          <w:rFonts w:ascii="Tahoma" w:hAnsi="Tahoma" w:cs="Tahoma"/>
          <w:b/>
          <w:sz w:val="20"/>
          <w:szCs w:val="20"/>
        </w:rPr>
      </w:pPr>
      <w:r w:rsidRPr="00F86163">
        <w:rPr>
          <w:rFonts w:ascii="Tahoma" w:hAnsi="Tahoma" w:cs="Tahoma"/>
          <w:b/>
          <w:sz w:val="20"/>
          <w:szCs w:val="20"/>
        </w:rPr>
        <w:t>DIPARTIMENTO MEDICO</w:t>
      </w:r>
    </w:p>
    <w:p w:rsidR="00075A05" w:rsidRPr="00F86163" w:rsidRDefault="00075A05" w:rsidP="00F86163">
      <w:pPr>
        <w:pStyle w:val="Paragrafoelenco"/>
        <w:numPr>
          <w:ilvl w:val="1"/>
          <w:numId w:val="25"/>
        </w:numPr>
        <w:spacing w:line="360" w:lineRule="auto"/>
        <w:ind w:left="426" w:hanging="426"/>
        <w:jc w:val="both"/>
        <w:rPr>
          <w:rFonts w:ascii="Tahoma" w:hAnsi="Tahoma" w:cs="Tahoma"/>
          <w:sz w:val="20"/>
          <w:szCs w:val="20"/>
        </w:rPr>
      </w:pPr>
      <w:r w:rsidRPr="00F86163">
        <w:rPr>
          <w:rFonts w:ascii="Tahoma" w:hAnsi="Tahoma" w:cs="Tahoma"/>
          <w:sz w:val="20"/>
          <w:szCs w:val="20"/>
        </w:rPr>
        <w:t>Incremento dell’attività della SC Cardiologia Casale M. in relazione alla nomina da fine 2017 del nuovo Direttore di Struttura Complessa ed in funzione del recupero della mobilità passiva per i residenti del territorio casalese;</w:t>
      </w:r>
    </w:p>
    <w:p w:rsidR="00075A05" w:rsidRPr="00F86163" w:rsidRDefault="00075A05" w:rsidP="00F86163">
      <w:pPr>
        <w:pStyle w:val="Paragrafoelenco"/>
        <w:numPr>
          <w:ilvl w:val="1"/>
          <w:numId w:val="25"/>
        </w:numPr>
        <w:spacing w:line="360" w:lineRule="auto"/>
        <w:ind w:left="426" w:hanging="426"/>
        <w:jc w:val="both"/>
        <w:rPr>
          <w:rFonts w:ascii="Tahoma" w:hAnsi="Tahoma" w:cs="Tahoma"/>
          <w:sz w:val="20"/>
          <w:szCs w:val="20"/>
        </w:rPr>
      </w:pPr>
      <w:r w:rsidRPr="00F86163">
        <w:rPr>
          <w:rFonts w:ascii="Tahoma" w:hAnsi="Tahoma" w:cs="Tahoma"/>
          <w:sz w:val="20"/>
          <w:szCs w:val="20"/>
        </w:rPr>
        <w:t>riduzione dei tempi di degenza delle SSCC Medicina Generale (dato medio aziendale previsto per il 2018 pari a 9gg) migliorando</w:t>
      </w:r>
    </w:p>
    <w:p w:rsidR="00075A05" w:rsidRPr="00075A05" w:rsidRDefault="00075A05" w:rsidP="00F86163">
      <w:pPr>
        <w:spacing w:line="360" w:lineRule="auto"/>
        <w:ind w:left="426"/>
        <w:jc w:val="both"/>
        <w:rPr>
          <w:rFonts w:ascii="Tahoma" w:hAnsi="Tahoma" w:cs="Tahoma"/>
          <w:sz w:val="20"/>
          <w:szCs w:val="20"/>
        </w:rPr>
      </w:pPr>
      <w:r w:rsidRPr="00075A05">
        <w:rPr>
          <w:rFonts w:ascii="Tahoma" w:hAnsi="Tahoma" w:cs="Tahoma"/>
          <w:sz w:val="20"/>
          <w:szCs w:val="20"/>
        </w:rPr>
        <w:t>a)</w:t>
      </w:r>
      <w:r w:rsidRPr="00075A05">
        <w:rPr>
          <w:rFonts w:ascii="Tahoma" w:hAnsi="Tahoma" w:cs="Tahoma"/>
          <w:sz w:val="20"/>
          <w:szCs w:val="20"/>
        </w:rPr>
        <w:tab/>
        <w:t xml:space="preserve">i rapporti con Distretti per dimissioni precoci </w:t>
      </w:r>
    </w:p>
    <w:p w:rsidR="00075A05" w:rsidRPr="00075A05" w:rsidRDefault="00075A05" w:rsidP="00F86163">
      <w:pPr>
        <w:spacing w:line="360" w:lineRule="auto"/>
        <w:ind w:left="426"/>
        <w:jc w:val="both"/>
        <w:rPr>
          <w:rFonts w:ascii="Tahoma" w:hAnsi="Tahoma" w:cs="Tahoma"/>
          <w:sz w:val="20"/>
          <w:szCs w:val="20"/>
        </w:rPr>
      </w:pPr>
      <w:r w:rsidRPr="00075A05">
        <w:rPr>
          <w:rFonts w:ascii="Tahoma" w:hAnsi="Tahoma" w:cs="Tahoma"/>
          <w:sz w:val="20"/>
          <w:szCs w:val="20"/>
        </w:rPr>
        <w:t>b)</w:t>
      </w:r>
      <w:r w:rsidRPr="00075A05">
        <w:rPr>
          <w:rFonts w:ascii="Tahoma" w:hAnsi="Tahoma" w:cs="Tahoma"/>
          <w:sz w:val="20"/>
          <w:szCs w:val="20"/>
        </w:rPr>
        <w:tab/>
        <w:t>i protocolli aziendali per ottimizzare tempi di esecuzione degli esami;</w:t>
      </w:r>
    </w:p>
    <w:p w:rsidR="00075A05" w:rsidRPr="00F86163" w:rsidRDefault="00075A05" w:rsidP="00F86163">
      <w:pPr>
        <w:pStyle w:val="Paragrafoelenco"/>
        <w:numPr>
          <w:ilvl w:val="1"/>
          <w:numId w:val="27"/>
        </w:numPr>
        <w:spacing w:line="360" w:lineRule="auto"/>
        <w:ind w:left="426" w:hanging="426"/>
        <w:jc w:val="both"/>
        <w:rPr>
          <w:rFonts w:ascii="Tahoma" w:hAnsi="Tahoma" w:cs="Tahoma"/>
          <w:sz w:val="20"/>
          <w:szCs w:val="20"/>
        </w:rPr>
      </w:pPr>
      <w:r w:rsidRPr="00F86163">
        <w:rPr>
          <w:rFonts w:ascii="Tahoma" w:hAnsi="Tahoma" w:cs="Tahoma"/>
          <w:sz w:val="20"/>
          <w:szCs w:val="20"/>
        </w:rPr>
        <w:t>riduzione dei ricoveri ad alto rischio di inappropriatezza agendo soprattutto sui rapporti con i DEA/PS per condividere la valutazione dei casi border line con eventuali dimissioni dopo osservazione breve (OBI);</w:t>
      </w:r>
    </w:p>
    <w:p w:rsidR="00075A05" w:rsidRPr="00F86163" w:rsidRDefault="00075A05" w:rsidP="00F86163">
      <w:pPr>
        <w:pStyle w:val="Paragrafoelenco"/>
        <w:numPr>
          <w:ilvl w:val="1"/>
          <w:numId w:val="27"/>
        </w:numPr>
        <w:spacing w:line="360" w:lineRule="auto"/>
        <w:ind w:left="426" w:hanging="426"/>
        <w:jc w:val="both"/>
        <w:rPr>
          <w:rFonts w:ascii="Tahoma" w:hAnsi="Tahoma" w:cs="Tahoma"/>
          <w:sz w:val="20"/>
          <w:szCs w:val="20"/>
        </w:rPr>
      </w:pPr>
      <w:r w:rsidRPr="00F86163">
        <w:rPr>
          <w:rFonts w:ascii="Tahoma" w:hAnsi="Tahoma" w:cs="Tahoma"/>
          <w:sz w:val="20"/>
          <w:szCs w:val="20"/>
        </w:rPr>
        <w:t>per i PPOO di Acqui T. e Tortona stesura di protocollo con la SC Neurologia per ottimizzare i percorsi assistenziali post acuzie nei pazienti con ictus;</w:t>
      </w:r>
    </w:p>
    <w:p w:rsidR="00075A05" w:rsidRPr="00F86163" w:rsidRDefault="00075A05" w:rsidP="00F86163">
      <w:pPr>
        <w:pStyle w:val="Paragrafoelenco"/>
        <w:numPr>
          <w:ilvl w:val="1"/>
          <w:numId w:val="27"/>
        </w:numPr>
        <w:spacing w:line="360" w:lineRule="auto"/>
        <w:ind w:left="426" w:hanging="426"/>
        <w:jc w:val="both"/>
        <w:rPr>
          <w:rFonts w:ascii="Tahoma" w:hAnsi="Tahoma" w:cs="Tahoma"/>
          <w:sz w:val="20"/>
          <w:szCs w:val="20"/>
        </w:rPr>
      </w:pPr>
      <w:r w:rsidRPr="00F86163">
        <w:rPr>
          <w:rFonts w:ascii="Tahoma" w:hAnsi="Tahoma" w:cs="Tahoma"/>
          <w:sz w:val="20"/>
          <w:szCs w:val="20"/>
        </w:rPr>
        <w:t>definizione con l’ASO AL di un percorso per il più rapido accesso dei pazienti affetti da NSTEMI che necessitino di esame coronarografico ed eventuale rivascolarizzazione miocardica nel minor tempo possibile (entro le 48 h), permettendo ai pazienti di poter accedere alle più adeguate cure invasive nel minor tempo possibile (all'interno delle 48h previste) riducendone il tempo di degenza, le possibili recidive e le eventuali complicanze correlate al protrarsi della degenza;</w:t>
      </w:r>
    </w:p>
    <w:p w:rsidR="00075A05" w:rsidRPr="00F86163" w:rsidRDefault="00075A05" w:rsidP="00F86163">
      <w:pPr>
        <w:pStyle w:val="Paragrafoelenco"/>
        <w:numPr>
          <w:ilvl w:val="1"/>
          <w:numId w:val="27"/>
        </w:numPr>
        <w:spacing w:line="360" w:lineRule="auto"/>
        <w:ind w:left="426" w:hanging="426"/>
        <w:jc w:val="both"/>
        <w:rPr>
          <w:rFonts w:ascii="Tahoma" w:hAnsi="Tahoma" w:cs="Tahoma"/>
          <w:sz w:val="20"/>
          <w:szCs w:val="20"/>
        </w:rPr>
      </w:pPr>
      <w:r w:rsidRPr="00F86163">
        <w:rPr>
          <w:rFonts w:ascii="Tahoma" w:hAnsi="Tahoma" w:cs="Tahoma"/>
          <w:sz w:val="20"/>
          <w:szCs w:val="20"/>
        </w:rPr>
        <w:t>attuazione di un protocollo condiviso per un appropriato percorso del paziente con dolore toracico in DEA: tale protocollo migliorerebbe l'appropriatezza diagnostica e indirizzerebbe in modo più veloce e sicuro il paziente verso il proprio percorso diagnostico-terapeutico più adeguato.</w:t>
      </w:r>
    </w:p>
    <w:p w:rsidR="00075A05" w:rsidRPr="00075A05" w:rsidRDefault="00075A05" w:rsidP="00F86163">
      <w:pPr>
        <w:spacing w:line="360" w:lineRule="auto"/>
        <w:jc w:val="both"/>
        <w:rPr>
          <w:rFonts w:ascii="Tahoma" w:hAnsi="Tahoma" w:cs="Tahoma"/>
          <w:sz w:val="20"/>
          <w:szCs w:val="20"/>
        </w:rPr>
      </w:pPr>
    </w:p>
    <w:p w:rsidR="00075A05" w:rsidRPr="00F86163" w:rsidRDefault="00075A05" w:rsidP="00F86163">
      <w:pPr>
        <w:spacing w:line="360" w:lineRule="auto"/>
        <w:jc w:val="both"/>
        <w:rPr>
          <w:rFonts w:ascii="Tahoma" w:hAnsi="Tahoma" w:cs="Tahoma"/>
          <w:b/>
          <w:sz w:val="20"/>
          <w:szCs w:val="20"/>
        </w:rPr>
      </w:pPr>
      <w:r w:rsidRPr="00F86163">
        <w:rPr>
          <w:rFonts w:ascii="Tahoma" w:hAnsi="Tahoma" w:cs="Tahoma"/>
          <w:b/>
          <w:sz w:val="20"/>
          <w:szCs w:val="20"/>
        </w:rPr>
        <w:t>DIPARTIMENTO CHIRURGICO</w:t>
      </w:r>
    </w:p>
    <w:p w:rsidR="00075A05" w:rsidRPr="00F86163" w:rsidRDefault="00075A05" w:rsidP="00F86163">
      <w:pPr>
        <w:pStyle w:val="Paragrafoelenco"/>
        <w:numPr>
          <w:ilvl w:val="1"/>
          <w:numId w:val="29"/>
        </w:numPr>
        <w:spacing w:line="360" w:lineRule="auto"/>
        <w:ind w:left="426" w:hanging="426"/>
        <w:jc w:val="both"/>
        <w:rPr>
          <w:rFonts w:ascii="Tahoma" w:hAnsi="Tahoma" w:cs="Tahoma"/>
          <w:sz w:val="20"/>
          <w:szCs w:val="20"/>
        </w:rPr>
      </w:pPr>
      <w:r w:rsidRPr="00F86163">
        <w:rPr>
          <w:rFonts w:ascii="Tahoma" w:hAnsi="Tahoma" w:cs="Tahoma"/>
          <w:sz w:val="20"/>
          <w:szCs w:val="20"/>
        </w:rPr>
        <w:t>Prosecuzione nelle azioni di efficientamento nel comparto operatorio con incremento dei tassi di occupazione delle sale operatorie e con una migliore programmazione delle sedute e degli interventi, in relazione al miglioramento dei tempi operatori, come previsto dagli indicatori del Regolamento aziendale;</w:t>
      </w:r>
    </w:p>
    <w:p w:rsidR="00075A05" w:rsidRPr="00F86163" w:rsidRDefault="00075A05" w:rsidP="00F86163">
      <w:pPr>
        <w:pStyle w:val="Paragrafoelenco"/>
        <w:numPr>
          <w:ilvl w:val="1"/>
          <w:numId w:val="29"/>
        </w:numPr>
        <w:spacing w:line="360" w:lineRule="auto"/>
        <w:ind w:left="426" w:hanging="426"/>
        <w:jc w:val="both"/>
        <w:rPr>
          <w:rFonts w:ascii="Tahoma" w:hAnsi="Tahoma" w:cs="Tahoma"/>
          <w:sz w:val="20"/>
          <w:szCs w:val="20"/>
        </w:rPr>
      </w:pPr>
      <w:r w:rsidRPr="00F86163">
        <w:rPr>
          <w:rFonts w:ascii="Tahoma" w:hAnsi="Tahoma" w:cs="Tahoma"/>
          <w:sz w:val="20"/>
          <w:szCs w:val="20"/>
        </w:rPr>
        <w:t xml:space="preserve">incremento della produzione delle Chirurgie di Novi L. ed Acqui T. e dell’Ortopedia di Casale M. i cui Direttori di Struttura Complessa sono stati nominati a metà anno 2017, con attività a pieno regime nel corso di tutto il 2018; </w:t>
      </w:r>
    </w:p>
    <w:p w:rsidR="00075A05" w:rsidRPr="00F86163" w:rsidRDefault="00075A05" w:rsidP="00F86163">
      <w:pPr>
        <w:pStyle w:val="Paragrafoelenco"/>
        <w:numPr>
          <w:ilvl w:val="1"/>
          <w:numId w:val="29"/>
        </w:numPr>
        <w:spacing w:line="360" w:lineRule="auto"/>
        <w:ind w:left="426" w:hanging="426"/>
        <w:jc w:val="both"/>
        <w:rPr>
          <w:rFonts w:ascii="Tahoma" w:hAnsi="Tahoma" w:cs="Tahoma"/>
          <w:sz w:val="20"/>
          <w:szCs w:val="20"/>
        </w:rPr>
      </w:pPr>
      <w:r w:rsidRPr="00F86163">
        <w:rPr>
          <w:rFonts w:ascii="Tahoma" w:hAnsi="Tahoma" w:cs="Tahoma"/>
          <w:sz w:val="20"/>
          <w:szCs w:val="20"/>
        </w:rPr>
        <w:t>incremento dell’attività di ORL e Urologia, specialità per le quali si è registrato nel corso del 2017 una crescita della mobilità passiva;</w:t>
      </w:r>
    </w:p>
    <w:p w:rsidR="00075A05" w:rsidRPr="00F86163" w:rsidRDefault="00075A05" w:rsidP="00F86163">
      <w:pPr>
        <w:pStyle w:val="Paragrafoelenco"/>
        <w:numPr>
          <w:ilvl w:val="1"/>
          <w:numId w:val="29"/>
        </w:numPr>
        <w:spacing w:line="360" w:lineRule="auto"/>
        <w:ind w:left="426" w:hanging="426"/>
        <w:jc w:val="both"/>
        <w:rPr>
          <w:rFonts w:ascii="Tahoma" w:hAnsi="Tahoma" w:cs="Tahoma"/>
          <w:sz w:val="20"/>
          <w:szCs w:val="20"/>
        </w:rPr>
      </w:pPr>
      <w:r w:rsidRPr="00F86163">
        <w:rPr>
          <w:rFonts w:ascii="Tahoma" w:hAnsi="Tahoma" w:cs="Tahoma"/>
          <w:sz w:val="20"/>
          <w:szCs w:val="20"/>
        </w:rPr>
        <w:t>per quanto riguarda la SC Otorinolaringoiatria, con l'acquisizione di due colonne endoscopiche con tecnica NBI presso l'ospedale di Casale M. e di Acqui T. potranno essere effettuate diagnosi precoci di neoplasia delle prime vie aeree con conseguente diminuzione di incidenza di ricoveri per grossi interventi o di radio-</w:t>
      </w:r>
      <w:r w:rsidRPr="00F86163">
        <w:rPr>
          <w:rFonts w:ascii="Tahoma" w:hAnsi="Tahoma" w:cs="Tahoma"/>
          <w:sz w:val="20"/>
          <w:szCs w:val="20"/>
        </w:rPr>
        <w:lastRenderedPageBreak/>
        <w:t>chemio terapia (che generano mobilità passiva), con possibile diminuzione dei costi di gestione di questi pazienti.</w:t>
      </w:r>
    </w:p>
    <w:p w:rsidR="00F86163" w:rsidRDefault="00F86163" w:rsidP="00F86163">
      <w:pPr>
        <w:spacing w:line="360" w:lineRule="auto"/>
        <w:jc w:val="both"/>
        <w:rPr>
          <w:rFonts w:ascii="Tahoma" w:hAnsi="Tahoma" w:cs="Tahoma"/>
          <w:sz w:val="20"/>
          <w:szCs w:val="20"/>
        </w:rPr>
      </w:pPr>
    </w:p>
    <w:p w:rsidR="00075A05" w:rsidRPr="00075A05" w:rsidRDefault="00075A05" w:rsidP="00F86163">
      <w:pPr>
        <w:spacing w:line="360" w:lineRule="auto"/>
        <w:jc w:val="both"/>
        <w:rPr>
          <w:rFonts w:ascii="Tahoma" w:hAnsi="Tahoma" w:cs="Tahoma"/>
          <w:sz w:val="20"/>
          <w:szCs w:val="20"/>
        </w:rPr>
      </w:pPr>
      <w:r w:rsidRPr="00075A05">
        <w:rPr>
          <w:rFonts w:ascii="Tahoma" w:hAnsi="Tahoma" w:cs="Tahoma"/>
          <w:sz w:val="20"/>
          <w:szCs w:val="20"/>
        </w:rPr>
        <w:t>Utilizzando ancora le attuali postazioni endoscopiche semplici, inoltre, si potrà incrementare il numero dei pazienti sottoposti a visita strumentale per la patologia delle apnee notturne, che, con le ultime disposizioni per il rinnovo delle patenti di guida, saranno destinati a crescere.</w:t>
      </w:r>
    </w:p>
    <w:p w:rsidR="00075A05" w:rsidRPr="00075A05" w:rsidRDefault="00075A05" w:rsidP="00F86163">
      <w:pPr>
        <w:spacing w:line="360" w:lineRule="auto"/>
        <w:jc w:val="both"/>
        <w:rPr>
          <w:rFonts w:ascii="Tahoma" w:hAnsi="Tahoma" w:cs="Tahoma"/>
          <w:sz w:val="20"/>
          <w:szCs w:val="20"/>
        </w:rPr>
      </w:pPr>
    </w:p>
    <w:p w:rsidR="00075A05" w:rsidRPr="00075A05" w:rsidRDefault="00075A05" w:rsidP="00F86163">
      <w:pPr>
        <w:spacing w:line="360" w:lineRule="auto"/>
        <w:jc w:val="both"/>
        <w:rPr>
          <w:rFonts w:ascii="Tahoma" w:hAnsi="Tahoma" w:cs="Tahoma"/>
          <w:sz w:val="20"/>
          <w:szCs w:val="20"/>
        </w:rPr>
      </w:pPr>
      <w:r w:rsidRPr="00075A05">
        <w:rPr>
          <w:rFonts w:ascii="Tahoma" w:hAnsi="Tahoma" w:cs="Tahoma"/>
          <w:sz w:val="20"/>
          <w:szCs w:val="20"/>
        </w:rPr>
        <w:t xml:space="preserve">La previsione di incremento della produzione per l’anno 2018 si inserisce nella programmazione dell’offerta che è oggetto di confronto con </w:t>
      </w:r>
      <w:r w:rsidRPr="00F86163">
        <w:rPr>
          <w:rFonts w:ascii="Tahoma" w:hAnsi="Tahoma" w:cs="Tahoma"/>
          <w:b/>
          <w:sz w:val="20"/>
          <w:szCs w:val="20"/>
        </w:rPr>
        <w:t>l’ASO di Alessandria</w:t>
      </w:r>
      <w:r w:rsidRPr="00075A05">
        <w:rPr>
          <w:rFonts w:ascii="Tahoma" w:hAnsi="Tahoma" w:cs="Tahoma"/>
          <w:sz w:val="20"/>
          <w:szCs w:val="20"/>
        </w:rPr>
        <w:t>, finalizzato alla definizione di un protocollo d’intesa e che, per quanto riguarda gli Erogatori privati, troverà riscontro nella definizione dei valori di produzione attesi nell’ambito dei contratti di fornitura per l’anno 2018; quanto sopra prioritariamente nell’ottica del recupero della fuga extraregionale, così come previsto dalla Deliberazione della Giunta Regionale 3 agosto 2017, n. 73-5504.</w:t>
      </w:r>
    </w:p>
    <w:p w:rsidR="00F86163" w:rsidRDefault="00F86163" w:rsidP="00F86163">
      <w:pPr>
        <w:spacing w:line="360" w:lineRule="auto"/>
        <w:jc w:val="both"/>
        <w:rPr>
          <w:rFonts w:ascii="Tahoma" w:hAnsi="Tahoma" w:cs="Tahoma"/>
          <w:sz w:val="20"/>
          <w:szCs w:val="20"/>
        </w:rPr>
      </w:pPr>
    </w:p>
    <w:p w:rsidR="00075A05" w:rsidRPr="00075A05" w:rsidRDefault="00075A05" w:rsidP="00F86163">
      <w:pPr>
        <w:spacing w:line="360" w:lineRule="auto"/>
        <w:jc w:val="both"/>
        <w:rPr>
          <w:rFonts w:ascii="Tahoma" w:hAnsi="Tahoma" w:cs="Tahoma"/>
          <w:sz w:val="20"/>
          <w:szCs w:val="20"/>
        </w:rPr>
      </w:pPr>
      <w:r w:rsidRPr="00075A05">
        <w:rPr>
          <w:rFonts w:ascii="Tahoma" w:hAnsi="Tahoma" w:cs="Tahoma"/>
          <w:sz w:val="20"/>
          <w:szCs w:val="20"/>
        </w:rPr>
        <w:t>L’incremento di produzione stimato si colloca in un quadro di diminuzione complessiva dei ricoveri per residenti ASL AL nel corso del 2017, ma con un dato in crescita per quanto riguarda la valorizzazione economica; tale indicatore deve correlarsi con quanto emerge dai dati disponibili di mobilità passiva extraregionale (1° semestre 2017), laddove, in termini di numero di ricoveri, a fronte di un sostanziale dato di continuità per quanto riguarda la fuga vs la Regione Lombardia, si registra un calo significativo di ricoveri di assistiti ASL in strutture liguri (-18,5%).</w:t>
      </w:r>
    </w:p>
    <w:p w:rsidR="00075A05" w:rsidRPr="00075A05" w:rsidRDefault="00075A05" w:rsidP="00F86163">
      <w:pPr>
        <w:spacing w:line="360" w:lineRule="auto"/>
        <w:jc w:val="both"/>
        <w:rPr>
          <w:rFonts w:ascii="Tahoma" w:hAnsi="Tahoma" w:cs="Tahoma"/>
          <w:sz w:val="20"/>
          <w:szCs w:val="20"/>
        </w:rPr>
      </w:pPr>
    </w:p>
    <w:p w:rsidR="00075A05" w:rsidRPr="00864BFB" w:rsidRDefault="00864BFB" w:rsidP="00F86163">
      <w:pPr>
        <w:spacing w:line="360" w:lineRule="auto"/>
        <w:jc w:val="both"/>
        <w:rPr>
          <w:rFonts w:ascii="Tahoma" w:hAnsi="Tahoma" w:cs="Tahoma"/>
          <w:b/>
          <w:sz w:val="20"/>
          <w:szCs w:val="20"/>
        </w:rPr>
      </w:pPr>
      <w:r w:rsidRPr="00864BFB">
        <w:rPr>
          <w:rFonts w:ascii="Tahoma" w:hAnsi="Tahoma" w:cs="Tahoma"/>
          <w:b/>
          <w:sz w:val="20"/>
          <w:szCs w:val="20"/>
        </w:rPr>
        <w:t>AZIONE DI VERIFICA DELLA CONGRUITA’ TRA RICHIESTO, PRESCRITTO E SOMMINISTRATO NEI REPARTI DI DEGENZA</w:t>
      </w:r>
    </w:p>
    <w:p w:rsidR="00075A05" w:rsidRPr="00075A05" w:rsidRDefault="00075A05" w:rsidP="00075A05">
      <w:pPr>
        <w:spacing w:line="360" w:lineRule="auto"/>
        <w:rPr>
          <w:rFonts w:ascii="Tahoma" w:hAnsi="Tahoma" w:cs="Tahoma"/>
          <w:sz w:val="20"/>
          <w:szCs w:val="20"/>
        </w:rPr>
      </w:pPr>
    </w:p>
    <w:p w:rsidR="00864BFB" w:rsidRP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L’Asl AL ha da tempo avviato l’informatizzazione della scheda di terapia nei diversi Reparti dei 5 Presidi Ospedalieri ed il suo utilizzo è ormai a regime praticamente sulla totalità dei relativi posti letto.</w:t>
      </w:r>
    </w:p>
    <w:p w:rsidR="00864BFB" w:rsidRP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 xml:space="preserve">Il monitoraggio si propone di valutare, per ciascuna struttura che utilizza l’applicativo, lo scostamento medio tra il consumo complessivo di farmaci nel periodo di analisi e la corrispondente somma delle somministrazioni registrate a sistema. </w:t>
      </w:r>
    </w:p>
    <w:p w:rsidR="00F86163" w:rsidRDefault="00864BFB" w:rsidP="00864BFB">
      <w:pPr>
        <w:spacing w:line="360" w:lineRule="auto"/>
        <w:jc w:val="both"/>
        <w:rPr>
          <w:rFonts w:ascii="Tahoma" w:hAnsi="Tahoma" w:cs="Tahoma"/>
          <w:sz w:val="20"/>
          <w:szCs w:val="20"/>
        </w:rPr>
      </w:pPr>
      <w:r w:rsidRPr="00864BFB">
        <w:rPr>
          <w:rFonts w:ascii="Tahoma" w:hAnsi="Tahoma" w:cs="Tahoma"/>
          <w:sz w:val="20"/>
          <w:szCs w:val="20"/>
        </w:rPr>
        <w:t>Sebbene sia nel concreto impossibile ottenere una rispondenza al 100% tra le due grandezze, ci si attende comunque che le dinamiche di consumo dei farmaci siano sostanzialmente riconducibili alle dinamiche di somministrazione degli stessi.</w:t>
      </w:r>
    </w:p>
    <w:p w:rsidR="00864BFB" w:rsidRDefault="00864BFB" w:rsidP="00864BFB">
      <w:pPr>
        <w:spacing w:line="360" w:lineRule="auto"/>
        <w:jc w:val="both"/>
        <w:rPr>
          <w:rFonts w:ascii="Tahoma" w:hAnsi="Tahoma" w:cs="Tahoma"/>
          <w:sz w:val="20"/>
          <w:szCs w:val="20"/>
        </w:rPr>
      </w:pPr>
      <w:r>
        <w:rPr>
          <w:rFonts w:ascii="Tahoma" w:hAnsi="Tahoma" w:cs="Tahoma"/>
          <w:sz w:val="20"/>
          <w:szCs w:val="20"/>
        </w:rPr>
        <w:t>L</w:t>
      </w:r>
      <w:r w:rsidRPr="00864BFB">
        <w:rPr>
          <w:rFonts w:ascii="Tahoma" w:hAnsi="Tahoma" w:cs="Tahoma"/>
          <w:sz w:val="20"/>
          <w:szCs w:val="20"/>
        </w:rPr>
        <w:t>’impatto economico-finanziario complessivamente stimato prevede una razionalizzazione pari €0,03/mln</w:t>
      </w:r>
      <w:r>
        <w:rPr>
          <w:rFonts w:ascii="Tahoma" w:hAnsi="Tahoma" w:cs="Tahoma"/>
          <w:sz w:val="20"/>
          <w:szCs w:val="20"/>
        </w:rPr>
        <w:t>,</w:t>
      </w:r>
      <w:r w:rsidRPr="00864BFB">
        <w:rPr>
          <w:rFonts w:ascii="Tahoma" w:hAnsi="Tahoma" w:cs="Tahoma"/>
          <w:sz w:val="20"/>
          <w:szCs w:val="20"/>
        </w:rPr>
        <w:t xml:space="preserve"> imputabile alla verifica della congruità’ tra richiesto, prescritto e somministrato nei reparti di degenza.</w:t>
      </w:r>
    </w:p>
    <w:p w:rsidR="00F86163" w:rsidRDefault="00F86163" w:rsidP="00E65AC1">
      <w:pPr>
        <w:spacing w:line="360" w:lineRule="auto"/>
        <w:rPr>
          <w:rFonts w:ascii="Tahoma" w:hAnsi="Tahoma" w:cs="Tahoma"/>
          <w:sz w:val="20"/>
          <w:szCs w:val="20"/>
        </w:rPr>
      </w:pPr>
    </w:p>
    <w:p w:rsidR="00864BFB" w:rsidRDefault="00864BFB" w:rsidP="00E65AC1">
      <w:pPr>
        <w:spacing w:line="360" w:lineRule="auto"/>
        <w:rPr>
          <w:rFonts w:ascii="Tahoma" w:hAnsi="Tahoma" w:cs="Tahoma"/>
          <w:sz w:val="20"/>
          <w:szCs w:val="20"/>
        </w:rPr>
      </w:pPr>
    </w:p>
    <w:p w:rsidR="00864BFB" w:rsidRPr="00864BFB" w:rsidRDefault="00864BFB" w:rsidP="00E65AC1">
      <w:pPr>
        <w:spacing w:line="360" w:lineRule="auto"/>
        <w:rPr>
          <w:rFonts w:ascii="Tahoma" w:hAnsi="Tahoma" w:cs="Tahoma"/>
          <w:b/>
          <w:sz w:val="20"/>
          <w:szCs w:val="20"/>
        </w:rPr>
      </w:pPr>
      <w:r w:rsidRPr="00864BFB">
        <w:rPr>
          <w:rFonts w:ascii="Tahoma" w:hAnsi="Tahoma" w:cs="Tahoma"/>
          <w:b/>
          <w:sz w:val="20"/>
          <w:szCs w:val="20"/>
        </w:rPr>
        <w:t>AZIONE DI INCREMENTO DELLA DISTRIBUZIONE DIRETTA</w:t>
      </w:r>
    </w:p>
    <w:p w:rsidR="00864BFB" w:rsidRDefault="00864BFB" w:rsidP="00864BFB">
      <w:pPr>
        <w:spacing w:line="360" w:lineRule="auto"/>
        <w:rPr>
          <w:rFonts w:ascii="Tahoma" w:hAnsi="Tahoma" w:cs="Tahoma"/>
          <w:sz w:val="20"/>
          <w:szCs w:val="20"/>
        </w:rPr>
      </w:pPr>
    </w:p>
    <w:p w:rsidR="00864BFB" w:rsidRP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 xml:space="preserve">La Distribuzione Diretta dell’ASL AL, al netto dei Farmaci per l’Epatite, nel corso del 2017 ha fatto registrare una contrazione del valore economico (riduzione prezzi) e sostanzialmente un mantenimento del dato quantitativo. Al contempo, le analisi sulla convenzionata hanno evidenziato la presenza di un elevato numero di pazienti anziani cronici politrattati e scarsamente aderenti. </w:t>
      </w:r>
    </w:p>
    <w:p w:rsidR="00864BFB" w:rsidRP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In accordo con il Dipartimento Medico si prevede di incrementare la Distribuzione Diretta per i pazienti cronici dei farmaci soggetti a Piano di Terapia.</w:t>
      </w:r>
    </w:p>
    <w:p w:rsid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La riduzione di costi sulla spesa Farmaceutica convenzionata derivante è stimata in ca. €70.000</w:t>
      </w:r>
    </w:p>
    <w:p w:rsidR="00864BFB" w:rsidRDefault="00864BFB" w:rsidP="00864BFB">
      <w:pPr>
        <w:spacing w:line="360" w:lineRule="auto"/>
        <w:jc w:val="both"/>
        <w:rPr>
          <w:rFonts w:ascii="Tahoma" w:hAnsi="Tahoma" w:cs="Tahoma"/>
          <w:sz w:val="20"/>
          <w:szCs w:val="20"/>
        </w:rPr>
      </w:pPr>
    </w:p>
    <w:p w:rsidR="00864BFB" w:rsidRPr="00864BFB" w:rsidRDefault="00864BFB" w:rsidP="00E65AC1">
      <w:pPr>
        <w:spacing w:line="360" w:lineRule="auto"/>
        <w:rPr>
          <w:rFonts w:ascii="Tahoma" w:hAnsi="Tahoma" w:cs="Tahoma"/>
          <w:b/>
          <w:sz w:val="20"/>
          <w:szCs w:val="20"/>
        </w:rPr>
      </w:pPr>
      <w:r w:rsidRPr="00864BFB">
        <w:rPr>
          <w:rFonts w:ascii="Tahoma" w:hAnsi="Tahoma" w:cs="Tahoma"/>
          <w:b/>
          <w:sz w:val="20"/>
          <w:szCs w:val="20"/>
        </w:rPr>
        <w:t>AZIONE DI STRETTO MONITORAGGIO DEI FARMACI EROGATI IN DPC DIVERSI DA QUELLI AGGIUDICATI</w:t>
      </w:r>
    </w:p>
    <w:p w:rsid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L’Asl di Alessandria ha una spesa procapite pesata sulla distribuzione per conto pi</w:t>
      </w:r>
      <w:r>
        <w:rPr>
          <w:rFonts w:ascii="Tahoma" w:hAnsi="Tahoma" w:cs="Tahoma"/>
          <w:sz w:val="20"/>
          <w:szCs w:val="20"/>
        </w:rPr>
        <w:t>ù alta della media regionale.</w:t>
      </w:r>
    </w:p>
    <w:p w:rsidR="00864BFB" w:rsidRDefault="00864BFB" w:rsidP="00864BFB">
      <w:pPr>
        <w:spacing w:line="360" w:lineRule="auto"/>
        <w:jc w:val="both"/>
        <w:rPr>
          <w:rFonts w:ascii="Tahoma" w:hAnsi="Tahoma" w:cs="Tahoma"/>
          <w:sz w:val="20"/>
          <w:szCs w:val="20"/>
        </w:rPr>
      </w:pPr>
      <w:r>
        <w:rPr>
          <w:rFonts w:ascii="Tahoma" w:hAnsi="Tahoma" w:cs="Tahoma"/>
          <w:sz w:val="20"/>
          <w:szCs w:val="20"/>
        </w:rPr>
        <w:t xml:space="preserve">L’analisi dei dati ha dimostrato </w:t>
      </w:r>
      <w:r w:rsidRPr="00864BFB">
        <w:rPr>
          <w:rFonts w:ascii="Tahoma" w:hAnsi="Tahoma" w:cs="Tahoma"/>
          <w:sz w:val="20"/>
          <w:szCs w:val="20"/>
        </w:rPr>
        <w:t xml:space="preserve">che per alcune categorie di farmaci (es. antipsicotici) vi è il ricorso all’originator più frequente che in altre realtà regionali. Questo in ragione anche della elevata mobilità su Liguria e Lombardia. </w:t>
      </w:r>
    </w:p>
    <w:p w:rsidR="00864BFB" w:rsidRDefault="00864BFB" w:rsidP="00864BFB">
      <w:pPr>
        <w:spacing w:line="360" w:lineRule="auto"/>
        <w:jc w:val="both"/>
        <w:rPr>
          <w:rFonts w:ascii="Tahoma" w:hAnsi="Tahoma" w:cs="Tahoma"/>
          <w:sz w:val="20"/>
          <w:szCs w:val="20"/>
        </w:rPr>
      </w:pPr>
      <w:r w:rsidRPr="00864BFB">
        <w:rPr>
          <w:rFonts w:ascii="Tahoma" w:hAnsi="Tahoma" w:cs="Tahoma"/>
          <w:sz w:val="20"/>
          <w:szCs w:val="20"/>
        </w:rPr>
        <w:t>Alla luce di quanto sopra per l’anno 2018 saranno monitorate strettamente quelle condizioni di mancata riconduzione ai prodotti aggiudicati non riconducibili a particolari esigenze cliniche, chiedendone</w:t>
      </w:r>
      <w:r>
        <w:rPr>
          <w:rFonts w:ascii="Tahoma" w:hAnsi="Tahoma" w:cs="Tahoma"/>
          <w:sz w:val="20"/>
          <w:szCs w:val="20"/>
        </w:rPr>
        <w:t xml:space="preserve"> ragione al medico prescrittore, che si stima produrranno </w:t>
      </w:r>
      <w:r w:rsidRPr="00864BFB">
        <w:rPr>
          <w:rFonts w:ascii="Tahoma" w:hAnsi="Tahoma" w:cs="Tahoma"/>
          <w:sz w:val="20"/>
          <w:szCs w:val="20"/>
        </w:rPr>
        <w:t>una razionalizzazione pari €0,03/mln</w:t>
      </w:r>
      <w:r>
        <w:rPr>
          <w:rFonts w:ascii="Tahoma" w:hAnsi="Tahoma" w:cs="Tahoma"/>
          <w:sz w:val="20"/>
          <w:szCs w:val="20"/>
        </w:rPr>
        <w:t>.</w:t>
      </w:r>
    </w:p>
    <w:p w:rsidR="00864BFB" w:rsidRDefault="00864BFB" w:rsidP="00E65AC1">
      <w:pPr>
        <w:spacing w:line="360" w:lineRule="auto"/>
        <w:rPr>
          <w:rFonts w:ascii="Tahoma" w:hAnsi="Tahoma" w:cs="Tahoma"/>
          <w:sz w:val="20"/>
          <w:szCs w:val="20"/>
        </w:rPr>
      </w:pPr>
    </w:p>
    <w:p w:rsidR="00864BFB" w:rsidRPr="008E545C" w:rsidRDefault="008E545C" w:rsidP="00E65AC1">
      <w:pPr>
        <w:spacing w:line="360" w:lineRule="auto"/>
        <w:rPr>
          <w:rFonts w:ascii="Tahoma" w:hAnsi="Tahoma" w:cs="Tahoma"/>
          <w:b/>
          <w:sz w:val="20"/>
          <w:szCs w:val="20"/>
        </w:rPr>
      </w:pPr>
      <w:r w:rsidRPr="008E545C">
        <w:rPr>
          <w:rFonts w:ascii="Tahoma" w:hAnsi="Tahoma" w:cs="Tahoma"/>
          <w:b/>
          <w:sz w:val="20"/>
          <w:szCs w:val="20"/>
        </w:rPr>
        <w:t>AZIONE DI RIORGANIZZAZIONE LOGISTICA DELLE SEDI DI ATTIVITA’</w:t>
      </w:r>
    </w:p>
    <w:p w:rsidR="008E545C" w:rsidRDefault="008E545C" w:rsidP="008E545C">
      <w:pPr>
        <w:spacing w:line="360" w:lineRule="auto"/>
        <w:jc w:val="both"/>
        <w:rPr>
          <w:rFonts w:ascii="Tahoma" w:hAnsi="Tahoma" w:cs="Tahoma"/>
          <w:sz w:val="20"/>
          <w:szCs w:val="20"/>
        </w:rPr>
      </w:pPr>
      <w:r w:rsidRPr="008E545C">
        <w:rPr>
          <w:rFonts w:ascii="Tahoma" w:hAnsi="Tahoma" w:cs="Tahoma"/>
          <w:sz w:val="20"/>
          <w:szCs w:val="20"/>
        </w:rPr>
        <w:t>La riorganizzazione delle sedi di attività e dei servizi di supporto, legata all’attuazione della rideterminazione della Rete ospedaliera aziendale ed alle altre azioni finalizzate alla razionalizzazione della logistica, comporta un significativo risparmio di costi per l’anno 2018</w:t>
      </w:r>
      <w:r>
        <w:rPr>
          <w:rFonts w:ascii="Tahoma" w:hAnsi="Tahoma" w:cs="Tahoma"/>
          <w:sz w:val="20"/>
          <w:szCs w:val="20"/>
        </w:rPr>
        <w:t>, stimato in 187.329 euro/anno.</w:t>
      </w:r>
    </w:p>
    <w:p w:rsidR="008E545C" w:rsidRDefault="008E545C" w:rsidP="00E65AC1">
      <w:pPr>
        <w:spacing w:line="360" w:lineRule="auto"/>
        <w:rPr>
          <w:rFonts w:ascii="Tahoma" w:hAnsi="Tahoma" w:cs="Tahoma"/>
          <w:sz w:val="20"/>
          <w:szCs w:val="20"/>
        </w:rPr>
      </w:pPr>
    </w:p>
    <w:p w:rsidR="008E545C" w:rsidRPr="008E545C" w:rsidRDefault="008E545C" w:rsidP="008E545C">
      <w:pPr>
        <w:spacing w:line="360" w:lineRule="auto"/>
        <w:jc w:val="both"/>
        <w:rPr>
          <w:rFonts w:ascii="Tahoma" w:hAnsi="Tahoma" w:cs="Tahoma"/>
          <w:b/>
          <w:sz w:val="20"/>
          <w:szCs w:val="20"/>
        </w:rPr>
      </w:pPr>
      <w:r w:rsidRPr="008E545C">
        <w:rPr>
          <w:rFonts w:ascii="Tahoma" w:hAnsi="Tahoma" w:cs="Tahoma"/>
          <w:b/>
          <w:sz w:val="20"/>
          <w:szCs w:val="20"/>
        </w:rPr>
        <w:t>AZIONE DI BENCHMARK CON ASO AL E ASL AT RELATIVAMENTE AI PREZZI DI AGGIUDICAZIONE DEI DISPOSITIVI MEDICI IMPIANTABILI (CARDIOLOGICI ED ORTOPEDICI)</w:t>
      </w:r>
    </w:p>
    <w:p w:rsidR="008E545C" w:rsidRPr="008E545C" w:rsidRDefault="008E545C" w:rsidP="008E545C">
      <w:pPr>
        <w:spacing w:line="360" w:lineRule="auto"/>
        <w:jc w:val="both"/>
        <w:rPr>
          <w:rFonts w:ascii="Tahoma" w:hAnsi="Tahoma" w:cs="Tahoma"/>
          <w:sz w:val="20"/>
          <w:szCs w:val="20"/>
        </w:rPr>
      </w:pPr>
      <w:r w:rsidRPr="008E545C">
        <w:rPr>
          <w:rFonts w:ascii="Tahoma" w:hAnsi="Tahoma" w:cs="Tahoma"/>
          <w:sz w:val="20"/>
          <w:szCs w:val="20"/>
        </w:rPr>
        <w:t>L’analisi sui prezzi di aggiudicazione dei dispositivi medici impiantabili, in particolare per l’area cardiologica ed ortopedica, attraverso il confronto con i correlati dati delle Aziende sanitarie dell’Area Sovrazonale, si stima possa portare a significativi margini di risparmio sui costi sostenuti, nell’ottica di dare attuazione alle azioni di spending review sulle varie voci di costo aziendali.</w:t>
      </w:r>
    </w:p>
    <w:p w:rsidR="008E545C" w:rsidRPr="008E545C" w:rsidRDefault="008E545C" w:rsidP="008E545C">
      <w:pPr>
        <w:spacing w:line="360" w:lineRule="auto"/>
        <w:jc w:val="both"/>
        <w:rPr>
          <w:rFonts w:ascii="Tahoma" w:hAnsi="Tahoma" w:cs="Tahoma"/>
          <w:sz w:val="20"/>
          <w:szCs w:val="20"/>
        </w:rPr>
      </w:pPr>
      <w:r w:rsidRPr="008E545C">
        <w:rPr>
          <w:rFonts w:ascii="Tahoma" w:hAnsi="Tahoma" w:cs="Tahoma"/>
          <w:sz w:val="20"/>
          <w:szCs w:val="20"/>
        </w:rPr>
        <w:t>Il riscontro di eventuali difformità rispetto ad analoghe esperienze in realtà ospedaliere contigue, potrà determinare azioni volte a generare una riduzione dei costi sostenuti per l’anno 2018 (ricontrattazione con il fornitore, revisione prezzi, ecc.)</w:t>
      </w:r>
    </w:p>
    <w:p w:rsidR="008E545C" w:rsidRDefault="008E545C" w:rsidP="008E545C">
      <w:pPr>
        <w:spacing w:line="360" w:lineRule="auto"/>
        <w:rPr>
          <w:rFonts w:ascii="Tahoma" w:hAnsi="Tahoma" w:cs="Tahoma"/>
          <w:sz w:val="20"/>
          <w:szCs w:val="20"/>
        </w:rPr>
      </w:pPr>
    </w:p>
    <w:p w:rsidR="008E545C" w:rsidRDefault="008E545C" w:rsidP="008E545C">
      <w:pPr>
        <w:spacing w:line="360" w:lineRule="auto"/>
        <w:rPr>
          <w:rFonts w:ascii="Tahoma" w:hAnsi="Tahoma" w:cs="Tahoma"/>
          <w:sz w:val="20"/>
          <w:szCs w:val="20"/>
        </w:rPr>
      </w:pPr>
      <w:r>
        <w:rPr>
          <w:rFonts w:ascii="Tahoma" w:hAnsi="Tahoma" w:cs="Tahoma"/>
          <w:sz w:val="20"/>
          <w:szCs w:val="20"/>
        </w:rPr>
        <w:t>La riduzione di costi derivanti da tale azione</w:t>
      </w:r>
      <w:r w:rsidRPr="008E545C">
        <w:rPr>
          <w:rFonts w:ascii="Tahoma" w:hAnsi="Tahoma" w:cs="Tahoma"/>
          <w:sz w:val="20"/>
          <w:szCs w:val="20"/>
        </w:rPr>
        <w:t xml:space="preserve"> è stimata per l’anno 2018 in €300.000 annui</w:t>
      </w:r>
    </w:p>
    <w:p w:rsidR="008E545C" w:rsidRDefault="008E545C" w:rsidP="008E545C">
      <w:pPr>
        <w:spacing w:line="360" w:lineRule="auto"/>
        <w:rPr>
          <w:rFonts w:ascii="Tahoma" w:hAnsi="Tahoma" w:cs="Tahoma"/>
          <w:sz w:val="20"/>
          <w:szCs w:val="20"/>
        </w:rPr>
      </w:pPr>
    </w:p>
    <w:p w:rsidR="008E545C" w:rsidRPr="008E545C" w:rsidRDefault="008E545C" w:rsidP="008E545C">
      <w:pPr>
        <w:pStyle w:val="Paragrafoelenco"/>
        <w:spacing w:line="360" w:lineRule="auto"/>
        <w:ind w:left="0"/>
        <w:jc w:val="center"/>
        <w:rPr>
          <w:rFonts w:ascii="Tahoma" w:hAnsi="Tahoma" w:cs="Tahoma"/>
          <w:sz w:val="20"/>
          <w:szCs w:val="20"/>
        </w:rPr>
      </w:pPr>
      <w:r>
        <w:rPr>
          <w:rFonts w:ascii="Tahoma" w:hAnsi="Tahoma" w:cs="Tahoma"/>
          <w:sz w:val="20"/>
          <w:szCs w:val="20"/>
        </w:rPr>
        <w:t>- - - - - - -</w:t>
      </w:r>
    </w:p>
    <w:p w:rsidR="008E545C" w:rsidRDefault="008E545C" w:rsidP="00E65AC1">
      <w:pPr>
        <w:spacing w:line="360" w:lineRule="auto"/>
        <w:rPr>
          <w:rFonts w:ascii="Tahoma" w:hAnsi="Tahoma" w:cs="Tahoma"/>
          <w:sz w:val="20"/>
          <w:szCs w:val="20"/>
        </w:rPr>
      </w:pPr>
    </w:p>
    <w:p w:rsidR="008E545C" w:rsidRPr="008E545C" w:rsidRDefault="008E545C" w:rsidP="008E545C">
      <w:pPr>
        <w:spacing w:line="360" w:lineRule="auto"/>
        <w:jc w:val="both"/>
        <w:rPr>
          <w:rFonts w:ascii="Tahoma" w:hAnsi="Tahoma" w:cs="Tahoma"/>
          <w:sz w:val="20"/>
          <w:szCs w:val="20"/>
        </w:rPr>
      </w:pPr>
      <w:r>
        <w:rPr>
          <w:rFonts w:ascii="Tahoma" w:hAnsi="Tahoma" w:cs="Tahoma"/>
          <w:sz w:val="20"/>
          <w:szCs w:val="20"/>
        </w:rPr>
        <w:t>Infine va precisato</w:t>
      </w:r>
      <w:r w:rsidRPr="008E545C">
        <w:rPr>
          <w:rFonts w:ascii="Tahoma" w:hAnsi="Tahoma" w:cs="Tahoma"/>
          <w:sz w:val="20"/>
          <w:szCs w:val="20"/>
        </w:rPr>
        <w:t xml:space="preserve"> che, sulla scorta delle indicazioni regionali, si sono avviati i percorsi di contrattazione con l’Azienda Ospedaliera di Alessandria e le strutture private accreditate del territorio al fine di porre in essere interventi finalizzati al recupero della mobilità sanitaria extraregionale e che, in particolare, è stata acquisita una prima proposta dell’Azienda Ospedaliera di Alessandria prot n. 1803 del 25.01.2018 nella quale viene formalizzato l’impegno a incrementare la produzione verso i residenti dell’ASLAL nella misura indicata nella D.G.R. n. 113-6305/2017 - allegato B) – tabella B/1 – a fronte di una prima parziale stima da parte di questa Azienda di riduzione della mobilità sanitaria extraregionale nella misura di un terzo del predetto importo;</w:t>
      </w:r>
    </w:p>
    <w:p w:rsidR="008E545C" w:rsidRPr="008E545C" w:rsidRDefault="008E545C" w:rsidP="008E545C">
      <w:pPr>
        <w:spacing w:line="360" w:lineRule="auto"/>
        <w:rPr>
          <w:rFonts w:ascii="Tahoma" w:hAnsi="Tahoma" w:cs="Tahoma"/>
          <w:sz w:val="20"/>
          <w:szCs w:val="20"/>
        </w:rPr>
      </w:pPr>
    </w:p>
    <w:p w:rsidR="008E545C" w:rsidRPr="008E545C" w:rsidRDefault="008E545C" w:rsidP="008E545C">
      <w:pPr>
        <w:spacing w:line="360" w:lineRule="auto"/>
        <w:jc w:val="both"/>
        <w:rPr>
          <w:rFonts w:ascii="Tahoma" w:hAnsi="Tahoma" w:cs="Tahoma"/>
          <w:sz w:val="20"/>
          <w:szCs w:val="20"/>
        </w:rPr>
      </w:pPr>
      <w:r>
        <w:rPr>
          <w:rFonts w:ascii="Tahoma" w:hAnsi="Tahoma" w:cs="Tahoma"/>
          <w:sz w:val="20"/>
          <w:szCs w:val="20"/>
        </w:rPr>
        <w:t>Per i motivi sopra esposti</w:t>
      </w:r>
      <w:r w:rsidRPr="008E545C">
        <w:rPr>
          <w:rFonts w:ascii="Tahoma" w:hAnsi="Tahoma" w:cs="Tahoma"/>
          <w:sz w:val="20"/>
          <w:szCs w:val="20"/>
        </w:rPr>
        <w:t xml:space="preserve">, nelle more delle verifiche e dei provvedimenti conseguenti da parte dei competenti Organi regionali (ex art. 32 comma 5 del D.Lgs. 118/2011 e ex art. 20, comma 3, della L.R. n. 8/1995), </w:t>
      </w:r>
      <w:r>
        <w:rPr>
          <w:rFonts w:ascii="Tahoma" w:hAnsi="Tahoma" w:cs="Tahoma"/>
          <w:sz w:val="20"/>
          <w:szCs w:val="20"/>
        </w:rPr>
        <w:t xml:space="preserve">si intende ulteriormente precisare che </w:t>
      </w:r>
      <w:r w:rsidRPr="008E545C">
        <w:rPr>
          <w:rFonts w:ascii="Tahoma" w:hAnsi="Tahoma" w:cs="Tahoma"/>
          <w:sz w:val="20"/>
          <w:szCs w:val="20"/>
        </w:rPr>
        <w:t xml:space="preserve">al Bilancio Preventivo Economico Annuale 2018– </w:t>
      </w:r>
      <w:r>
        <w:rPr>
          <w:rFonts w:ascii="Tahoma" w:hAnsi="Tahoma" w:cs="Tahoma"/>
          <w:sz w:val="20"/>
          <w:szCs w:val="20"/>
        </w:rPr>
        <w:t xml:space="preserve">di cui alla presente deliberazione </w:t>
      </w:r>
      <w:r w:rsidRPr="008E545C">
        <w:rPr>
          <w:rFonts w:ascii="Tahoma" w:hAnsi="Tahoma" w:cs="Tahoma"/>
          <w:sz w:val="20"/>
          <w:szCs w:val="20"/>
        </w:rPr>
        <w:t>– va conferito carattere di provvi</w:t>
      </w:r>
      <w:r>
        <w:rPr>
          <w:rFonts w:ascii="Tahoma" w:hAnsi="Tahoma" w:cs="Tahoma"/>
          <w:sz w:val="20"/>
          <w:szCs w:val="20"/>
        </w:rPr>
        <w:t>sorietà.</w:t>
      </w:r>
    </w:p>
    <w:p w:rsidR="008E545C" w:rsidRDefault="008E545C" w:rsidP="00E65AC1">
      <w:pPr>
        <w:spacing w:line="360" w:lineRule="auto"/>
        <w:rPr>
          <w:rFonts w:ascii="Tahoma" w:hAnsi="Tahoma" w:cs="Tahoma"/>
          <w:sz w:val="20"/>
          <w:szCs w:val="20"/>
        </w:rPr>
      </w:pPr>
    </w:p>
    <w:p w:rsidR="008E545C" w:rsidRDefault="008E545C" w:rsidP="00E65AC1">
      <w:pPr>
        <w:spacing w:line="360" w:lineRule="auto"/>
        <w:rPr>
          <w:rFonts w:ascii="Tahoma" w:hAnsi="Tahoma" w:cs="Tahoma"/>
          <w:sz w:val="20"/>
          <w:szCs w:val="20"/>
        </w:rPr>
      </w:pPr>
    </w:p>
    <w:p w:rsidR="003A6553" w:rsidRDefault="004960DE" w:rsidP="00E65AC1">
      <w:pPr>
        <w:spacing w:line="360" w:lineRule="auto"/>
        <w:rPr>
          <w:rFonts w:ascii="Tahoma" w:hAnsi="Tahoma" w:cs="Tahoma"/>
          <w:sz w:val="20"/>
          <w:szCs w:val="20"/>
        </w:rPr>
      </w:pPr>
      <w:r w:rsidRPr="00184344">
        <w:rPr>
          <w:rFonts w:ascii="Tahoma" w:hAnsi="Tahoma" w:cs="Tahoma"/>
          <w:sz w:val="20"/>
          <w:szCs w:val="20"/>
        </w:rPr>
        <w:t>Alessandria</w:t>
      </w:r>
      <w:r w:rsidR="003A6553" w:rsidRPr="00184344">
        <w:rPr>
          <w:rFonts w:ascii="Tahoma" w:hAnsi="Tahoma" w:cs="Tahoma"/>
          <w:sz w:val="20"/>
          <w:szCs w:val="20"/>
        </w:rPr>
        <w:t xml:space="preserve">, </w:t>
      </w:r>
      <w:r w:rsidR="00075A05">
        <w:rPr>
          <w:rFonts w:ascii="Tahoma" w:hAnsi="Tahoma" w:cs="Tahoma"/>
          <w:sz w:val="20"/>
          <w:szCs w:val="20"/>
        </w:rPr>
        <w:t>3</w:t>
      </w:r>
      <w:r w:rsidR="00451567">
        <w:rPr>
          <w:rFonts w:ascii="Tahoma" w:hAnsi="Tahoma" w:cs="Tahoma"/>
          <w:sz w:val="20"/>
          <w:szCs w:val="20"/>
        </w:rPr>
        <w:t xml:space="preserve">1 </w:t>
      </w:r>
      <w:r w:rsidR="00075A05">
        <w:rPr>
          <w:rFonts w:ascii="Tahoma" w:hAnsi="Tahoma" w:cs="Tahoma"/>
          <w:sz w:val="20"/>
          <w:szCs w:val="20"/>
        </w:rPr>
        <w:t>gennaio 2018</w:t>
      </w:r>
      <w:r w:rsidR="003A6553" w:rsidRPr="00184344">
        <w:rPr>
          <w:rFonts w:ascii="Tahoma" w:hAnsi="Tahoma" w:cs="Tahoma"/>
          <w:sz w:val="20"/>
          <w:szCs w:val="20"/>
        </w:rPr>
        <w:t xml:space="preserve"> </w:t>
      </w:r>
    </w:p>
    <w:p w:rsidR="008E545C" w:rsidRPr="00184344" w:rsidRDefault="008E545C" w:rsidP="00E65AC1">
      <w:pPr>
        <w:spacing w:line="360" w:lineRule="auto"/>
        <w:rPr>
          <w:rFonts w:ascii="Tahoma" w:hAnsi="Tahoma" w:cs="Tahoma"/>
          <w:sz w:val="20"/>
          <w:szCs w:val="20"/>
        </w:rPr>
      </w:pPr>
    </w:p>
    <w:p w:rsidR="00AE159B" w:rsidRPr="00184344" w:rsidRDefault="00AE159B" w:rsidP="00E65AC1">
      <w:pPr>
        <w:spacing w:line="360" w:lineRule="auto"/>
        <w:rPr>
          <w:rFonts w:ascii="Tahoma" w:hAnsi="Tahoma" w:cs="Tahoma"/>
          <w:sz w:val="20"/>
          <w:szCs w:val="20"/>
        </w:rPr>
      </w:pP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00E65AC1" w:rsidRPr="00184344">
        <w:rPr>
          <w:rFonts w:ascii="Tahoma" w:hAnsi="Tahoma" w:cs="Tahoma"/>
          <w:sz w:val="20"/>
          <w:szCs w:val="20"/>
        </w:rPr>
        <w:t>Il Direttore Generale</w:t>
      </w:r>
    </w:p>
    <w:p w:rsidR="00E65AC1" w:rsidRPr="00184344" w:rsidRDefault="009D6A63" w:rsidP="00E65AC1">
      <w:pPr>
        <w:spacing w:line="360" w:lineRule="auto"/>
        <w:rPr>
          <w:rFonts w:ascii="Tahoma" w:hAnsi="Tahoma" w:cs="Tahoma"/>
          <w:sz w:val="20"/>
          <w:szCs w:val="20"/>
        </w:rPr>
      </w:pP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r>
      <w:r w:rsidRPr="00184344">
        <w:rPr>
          <w:rFonts w:ascii="Tahoma" w:hAnsi="Tahoma" w:cs="Tahoma"/>
          <w:sz w:val="20"/>
          <w:szCs w:val="20"/>
        </w:rPr>
        <w:tab/>
        <w:t>Dott. Gilberto Gentili</w:t>
      </w:r>
    </w:p>
    <w:p w:rsidR="00AE159B" w:rsidRPr="00184344" w:rsidRDefault="00342897" w:rsidP="00E65AC1">
      <w:pPr>
        <w:spacing w:line="360" w:lineRule="auto"/>
        <w:rPr>
          <w:rFonts w:ascii="Tahoma" w:hAnsi="Tahoma" w:cs="Tahoma"/>
          <w:i/>
          <w:sz w:val="20"/>
          <w:szCs w:val="20"/>
        </w:rPr>
      </w:pP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sidR="0070136E" w:rsidRPr="00184344">
        <w:rPr>
          <w:rFonts w:ascii="Tahoma" w:hAnsi="Tahoma" w:cs="Tahoma"/>
          <w:i/>
          <w:sz w:val="20"/>
          <w:szCs w:val="20"/>
        </w:rPr>
        <w:t>(firmato in originale)</w:t>
      </w:r>
    </w:p>
    <w:p w:rsidR="00064F9A" w:rsidRPr="00184344" w:rsidRDefault="00064F9A" w:rsidP="00E65AC1">
      <w:pPr>
        <w:spacing w:line="360" w:lineRule="auto"/>
        <w:rPr>
          <w:rFonts w:ascii="Tahoma" w:hAnsi="Tahoma" w:cs="Tahoma"/>
          <w:i/>
          <w:sz w:val="20"/>
          <w:szCs w:val="20"/>
        </w:rPr>
      </w:pPr>
    </w:p>
    <w:sectPr w:rsidR="00064F9A" w:rsidRPr="00184344" w:rsidSect="008D68E2">
      <w:headerReference w:type="default" r:id="rId7"/>
      <w:footerReference w:type="default" r:id="rId8"/>
      <w:pgSz w:w="11906" w:h="16838"/>
      <w:pgMar w:top="1440" w:right="1080" w:bottom="2336" w:left="1080" w:header="709" w:footer="8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05C" w:rsidRDefault="00CD505C">
      <w:r>
        <w:separator/>
      </w:r>
    </w:p>
  </w:endnote>
  <w:endnote w:type="continuationSeparator" w:id="0">
    <w:p w:rsidR="00CD505C" w:rsidRDefault="00C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2300"/>
      <w:docPartObj>
        <w:docPartGallery w:val="Page Numbers (Bottom of Page)"/>
        <w:docPartUnique/>
      </w:docPartObj>
    </w:sdtPr>
    <w:sdtEndPr/>
    <w:sdtContent>
      <w:p w:rsidR="00BD24AE" w:rsidRDefault="001377D2">
        <w:pPr>
          <w:pStyle w:val="Pidipagina"/>
          <w:jc w:val="right"/>
        </w:pPr>
        <w:r>
          <w:fldChar w:fldCharType="begin"/>
        </w:r>
        <w:r>
          <w:instrText xml:space="preserve"> PAGE   \* MERGEFORMAT </w:instrText>
        </w:r>
        <w:r>
          <w:fldChar w:fldCharType="separate"/>
        </w:r>
        <w:r w:rsidR="002841B3">
          <w:rPr>
            <w:noProof/>
          </w:rPr>
          <w:t>9</w:t>
        </w:r>
        <w:r>
          <w:rPr>
            <w:noProof/>
          </w:rPr>
          <w:fldChar w:fldCharType="end"/>
        </w:r>
      </w:p>
    </w:sdtContent>
  </w:sdt>
  <w:p w:rsidR="001D4E88" w:rsidRDefault="001D4E88" w:rsidP="008D68E2">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05C" w:rsidRDefault="00CD505C">
      <w:r>
        <w:separator/>
      </w:r>
    </w:p>
  </w:footnote>
  <w:footnote w:type="continuationSeparator" w:id="0">
    <w:p w:rsidR="00CD505C" w:rsidRDefault="00CD5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8" w:type="dxa"/>
      <w:tblBorders>
        <w:bottom w:val="single" w:sz="4" w:space="0" w:color="C00000"/>
      </w:tblBorders>
      <w:tblLayout w:type="fixed"/>
      <w:tblCellMar>
        <w:left w:w="70" w:type="dxa"/>
        <w:right w:w="70" w:type="dxa"/>
      </w:tblCellMar>
      <w:tblLook w:val="0000" w:firstRow="0" w:lastRow="0" w:firstColumn="0" w:lastColumn="0" w:noHBand="0" w:noVBand="0"/>
    </w:tblPr>
    <w:tblGrid>
      <w:gridCol w:w="5209"/>
      <w:gridCol w:w="5209"/>
    </w:tblGrid>
    <w:tr w:rsidR="001D4E88">
      <w:trPr>
        <w:cantSplit/>
        <w:trHeight w:val="508"/>
      </w:trPr>
      <w:tc>
        <w:tcPr>
          <w:tcW w:w="5209" w:type="dxa"/>
          <w:vMerge w:val="restart"/>
        </w:tcPr>
        <w:p w:rsidR="001D4E88" w:rsidRDefault="001D4E88">
          <w:pPr>
            <w:pStyle w:val="Intestazione"/>
            <w:tabs>
              <w:tab w:val="clear" w:pos="4819"/>
              <w:tab w:val="clear" w:pos="9638"/>
              <w:tab w:val="left" w:pos="4295"/>
            </w:tabs>
            <w:rPr>
              <w:rFonts w:ascii="Arial" w:hAnsi="Arial" w:cs="Arial"/>
              <w:sz w:val="18"/>
              <w:szCs w:val="18"/>
            </w:rPr>
          </w:pPr>
          <w:r>
            <w:rPr>
              <w:rFonts w:ascii="Arial" w:hAnsi="Arial" w:cs="Arial"/>
              <w:noProof/>
              <w:sz w:val="18"/>
              <w:szCs w:val="18"/>
            </w:rPr>
            <w:drawing>
              <wp:inline distT="0" distB="0" distL="0" distR="0">
                <wp:extent cx="1114425" cy="800100"/>
                <wp:effectExtent l="19050" t="0" r="9525" b="0"/>
                <wp:docPr id="1" name="Immagine 1"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noChangeAspect="1" noChangeArrowheads="1"/>
                        </pic:cNvPicPr>
                      </pic:nvPicPr>
                      <pic:blipFill>
                        <a:blip r:embed="rId1"/>
                        <a:srcRect/>
                        <a:stretch>
                          <a:fillRect/>
                        </a:stretch>
                      </pic:blipFill>
                      <pic:spPr bwMode="auto">
                        <a:xfrm>
                          <a:off x="0" y="0"/>
                          <a:ext cx="1114425" cy="800100"/>
                        </a:xfrm>
                        <a:prstGeom prst="rect">
                          <a:avLst/>
                        </a:prstGeom>
                        <a:noFill/>
                        <a:ln w="9525">
                          <a:noFill/>
                          <a:miter lim="800000"/>
                          <a:headEnd/>
                          <a:tailEnd/>
                        </a:ln>
                      </pic:spPr>
                    </pic:pic>
                  </a:graphicData>
                </a:graphic>
              </wp:inline>
            </w:drawing>
          </w:r>
        </w:p>
      </w:tc>
      <w:tc>
        <w:tcPr>
          <w:tcW w:w="5209" w:type="dxa"/>
          <w:vMerge w:val="restart"/>
        </w:tcPr>
        <w:p w:rsidR="001D4E88" w:rsidRDefault="001D4E88" w:rsidP="003B2AB6">
          <w:pPr>
            <w:jc w:val="right"/>
            <w:rPr>
              <w:rFonts w:ascii="Arial" w:hAnsi="Arial" w:cs="Arial"/>
              <w:i/>
              <w:sz w:val="16"/>
              <w:szCs w:val="16"/>
            </w:rPr>
          </w:pPr>
        </w:p>
        <w:p w:rsidR="001D4E88" w:rsidRDefault="001D4E88" w:rsidP="003B2AB6">
          <w:pPr>
            <w:jc w:val="right"/>
            <w:rPr>
              <w:rFonts w:ascii="Arial" w:hAnsi="Arial" w:cs="Arial"/>
              <w:i/>
              <w:sz w:val="14"/>
              <w:szCs w:val="14"/>
            </w:rPr>
          </w:pPr>
        </w:p>
        <w:p w:rsidR="001D4E88" w:rsidRDefault="001D4E88" w:rsidP="003B2AB6">
          <w:pPr>
            <w:pStyle w:val="Intestazione"/>
            <w:jc w:val="right"/>
            <w:rPr>
              <w:rFonts w:ascii="Arial" w:hAnsi="Arial" w:cs="Arial"/>
              <w:sz w:val="28"/>
              <w:szCs w:val="28"/>
            </w:rPr>
          </w:pPr>
          <w:r>
            <w:rPr>
              <w:rFonts w:ascii="Arial" w:hAnsi="Arial" w:cs="Arial"/>
              <w:i/>
              <w:sz w:val="18"/>
              <w:szCs w:val="18"/>
            </w:rPr>
            <w:t xml:space="preserve">Sede legale:  </w:t>
          </w:r>
          <w:r w:rsidR="001377D2">
            <w:rPr>
              <w:rFonts w:ascii="Arial" w:hAnsi="Arial" w:cs="Arial"/>
              <w:i/>
              <w:sz w:val="18"/>
              <w:szCs w:val="18"/>
            </w:rPr>
            <w:t>Via Venezia 6</w:t>
          </w:r>
        </w:p>
        <w:p w:rsidR="001D4E88" w:rsidRDefault="001D4E88" w:rsidP="003B2AB6">
          <w:pPr>
            <w:jc w:val="right"/>
            <w:rPr>
              <w:rFonts w:ascii="Arial" w:hAnsi="Arial" w:cs="Arial"/>
              <w:i/>
              <w:sz w:val="18"/>
              <w:szCs w:val="18"/>
            </w:rPr>
          </w:pPr>
          <w:r>
            <w:rPr>
              <w:rFonts w:ascii="Arial" w:hAnsi="Arial" w:cs="Arial"/>
              <w:i/>
              <w:sz w:val="18"/>
              <w:szCs w:val="18"/>
            </w:rPr>
            <w:t xml:space="preserve"> </w:t>
          </w:r>
          <w:r w:rsidR="001377D2">
            <w:rPr>
              <w:rFonts w:ascii="Arial" w:hAnsi="Arial" w:cs="Arial"/>
              <w:i/>
              <w:sz w:val="18"/>
              <w:szCs w:val="18"/>
            </w:rPr>
            <w:t xml:space="preserve">15121 ALESSANDRIA </w:t>
          </w:r>
          <w:r>
            <w:rPr>
              <w:rFonts w:ascii="Arial" w:hAnsi="Arial" w:cs="Arial"/>
              <w:i/>
              <w:sz w:val="18"/>
              <w:szCs w:val="18"/>
            </w:rPr>
            <w:t xml:space="preserve"> (AL)</w:t>
          </w:r>
        </w:p>
        <w:p w:rsidR="001D4E88" w:rsidRDefault="001D4E88" w:rsidP="003B2AB6">
          <w:pPr>
            <w:jc w:val="right"/>
            <w:rPr>
              <w:rFonts w:ascii="Arial" w:hAnsi="Arial" w:cs="Arial"/>
            </w:rPr>
          </w:pPr>
          <w:r>
            <w:rPr>
              <w:rFonts w:ascii="Arial" w:hAnsi="Arial" w:cs="Arial"/>
              <w:i/>
              <w:sz w:val="18"/>
              <w:szCs w:val="18"/>
            </w:rPr>
            <w:t>Partita IVA/Codice Fiscale  n. 02190140067</w:t>
          </w:r>
        </w:p>
      </w:tc>
    </w:tr>
    <w:tr w:rsidR="001D4E88">
      <w:trPr>
        <w:cantSplit/>
        <w:trHeight w:val="425"/>
      </w:trPr>
      <w:tc>
        <w:tcPr>
          <w:tcW w:w="5209" w:type="dxa"/>
          <w:vMerge/>
        </w:tcPr>
        <w:p w:rsidR="001D4E88" w:rsidRDefault="001D4E88"/>
      </w:tc>
      <w:tc>
        <w:tcPr>
          <w:tcW w:w="5209" w:type="dxa"/>
          <w:vMerge/>
        </w:tcPr>
        <w:p w:rsidR="001D4E88" w:rsidRDefault="001D4E88"/>
      </w:tc>
    </w:tr>
    <w:tr w:rsidR="001D4E88">
      <w:trPr>
        <w:cantSplit/>
        <w:trHeight w:val="352"/>
      </w:trPr>
      <w:tc>
        <w:tcPr>
          <w:tcW w:w="5209" w:type="dxa"/>
          <w:vMerge/>
        </w:tcPr>
        <w:p w:rsidR="001D4E88" w:rsidRDefault="001D4E88"/>
      </w:tc>
      <w:tc>
        <w:tcPr>
          <w:tcW w:w="5209" w:type="dxa"/>
          <w:vMerge/>
        </w:tcPr>
        <w:p w:rsidR="001D4E88" w:rsidRDefault="001D4E88"/>
      </w:tc>
    </w:tr>
  </w:tbl>
  <w:p w:rsidR="001D4E88" w:rsidRDefault="001D4E88">
    <w:pPr>
      <w:ind w:right="-82"/>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D9C"/>
    <w:multiLevelType w:val="hybridMultilevel"/>
    <w:tmpl w:val="CC009AB4"/>
    <w:lvl w:ilvl="0" w:tplc="EEE2E3E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754B5A"/>
    <w:multiLevelType w:val="hybridMultilevel"/>
    <w:tmpl w:val="074ADB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3D05E6"/>
    <w:multiLevelType w:val="hybridMultilevel"/>
    <w:tmpl w:val="492EB82A"/>
    <w:lvl w:ilvl="0" w:tplc="5F526872">
      <w:start w:val="3"/>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A61531"/>
    <w:multiLevelType w:val="hybridMultilevel"/>
    <w:tmpl w:val="1B18E8D6"/>
    <w:lvl w:ilvl="0" w:tplc="85EC44E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4" w15:restartNumberingAfterBreak="0">
    <w:nsid w:val="176C4AEC"/>
    <w:multiLevelType w:val="hybridMultilevel"/>
    <w:tmpl w:val="23C49C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506B2E"/>
    <w:multiLevelType w:val="hybridMultilevel"/>
    <w:tmpl w:val="38B6EB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CD6709E"/>
    <w:multiLevelType w:val="hybridMultilevel"/>
    <w:tmpl w:val="CB366A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A155EF"/>
    <w:multiLevelType w:val="hybridMultilevel"/>
    <w:tmpl w:val="67327DD0"/>
    <w:lvl w:ilvl="0" w:tplc="3A80BF3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66D4E77"/>
    <w:multiLevelType w:val="hybridMultilevel"/>
    <w:tmpl w:val="DBAA90CC"/>
    <w:lvl w:ilvl="0" w:tplc="04100001">
      <w:start w:val="1"/>
      <w:numFmt w:val="bullet"/>
      <w:lvlText w:val=""/>
      <w:lvlJc w:val="left"/>
      <w:pPr>
        <w:ind w:left="720" w:hanging="360"/>
      </w:pPr>
      <w:rPr>
        <w:rFonts w:ascii="Symbol" w:hAnsi="Symbol" w:hint="default"/>
      </w:rPr>
    </w:lvl>
    <w:lvl w:ilvl="1" w:tplc="4F62F93C">
      <w:numFmt w:val="bullet"/>
      <w:lvlText w:val="-"/>
      <w:lvlJc w:val="left"/>
      <w:pPr>
        <w:ind w:left="1785" w:hanging="705"/>
      </w:pPr>
      <w:rPr>
        <w:rFonts w:ascii="Tahoma" w:eastAsia="Times New Roman"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8E72C4"/>
    <w:multiLevelType w:val="hybridMultilevel"/>
    <w:tmpl w:val="4FF04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941EAF"/>
    <w:multiLevelType w:val="hybridMultilevel"/>
    <w:tmpl w:val="ABDC8D6E"/>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8170BF"/>
    <w:multiLevelType w:val="hybridMultilevel"/>
    <w:tmpl w:val="5FB64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0700F3"/>
    <w:multiLevelType w:val="hybridMultilevel"/>
    <w:tmpl w:val="629C82C2"/>
    <w:lvl w:ilvl="0" w:tplc="FD1CA74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15:restartNumberingAfterBreak="0">
    <w:nsid w:val="405D78BE"/>
    <w:multiLevelType w:val="hybridMultilevel"/>
    <w:tmpl w:val="E156403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5674160"/>
    <w:multiLevelType w:val="hybridMultilevel"/>
    <w:tmpl w:val="68D88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7B82540"/>
    <w:multiLevelType w:val="hybridMultilevel"/>
    <w:tmpl w:val="9CC600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5A5DFF"/>
    <w:multiLevelType w:val="hybridMultilevel"/>
    <w:tmpl w:val="B42230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16D1422"/>
    <w:multiLevelType w:val="hybridMultilevel"/>
    <w:tmpl w:val="6BE8FE54"/>
    <w:lvl w:ilvl="0" w:tplc="916C719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3A11581"/>
    <w:multiLevelType w:val="hybridMultilevel"/>
    <w:tmpl w:val="584CF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02273A"/>
    <w:multiLevelType w:val="hybridMultilevel"/>
    <w:tmpl w:val="31CA68C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5A8"/>
    <w:multiLevelType w:val="hybridMultilevel"/>
    <w:tmpl w:val="CE38B02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A70A74"/>
    <w:multiLevelType w:val="hybridMultilevel"/>
    <w:tmpl w:val="4F6655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7924FEB"/>
    <w:multiLevelType w:val="hybridMultilevel"/>
    <w:tmpl w:val="C6DC7E92"/>
    <w:lvl w:ilvl="0" w:tplc="B62641E2">
      <w:start w:val="19"/>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435BBE"/>
    <w:multiLevelType w:val="hybridMultilevel"/>
    <w:tmpl w:val="81AACE74"/>
    <w:lvl w:ilvl="0" w:tplc="E2CAE4D4">
      <w:start w:val="1"/>
      <w:numFmt w:val="lowerLetter"/>
      <w:lvlText w:val="%1)"/>
      <w:lvlJc w:val="left"/>
      <w:pPr>
        <w:tabs>
          <w:tab w:val="num" w:pos="720"/>
        </w:tabs>
        <w:ind w:left="720" w:hanging="360"/>
      </w:pPr>
      <w:rPr>
        <w:rFonts w:ascii="Arial" w:eastAsia="Times New Roman" w:hAnsi="Arial" w:cs="Arial"/>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C31E13"/>
    <w:multiLevelType w:val="hybridMultilevel"/>
    <w:tmpl w:val="D940F2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971C42"/>
    <w:multiLevelType w:val="hybridMultilevel"/>
    <w:tmpl w:val="8F10F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1C6A77"/>
    <w:multiLevelType w:val="hybridMultilevel"/>
    <w:tmpl w:val="3F642A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E4C09D4"/>
    <w:multiLevelType w:val="hybridMultilevel"/>
    <w:tmpl w:val="79788E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9A38A9"/>
    <w:multiLevelType w:val="hybridMultilevel"/>
    <w:tmpl w:val="C810B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2"/>
  </w:num>
  <w:num w:numId="4">
    <w:abstractNumId w:val="5"/>
  </w:num>
  <w:num w:numId="5">
    <w:abstractNumId w:val="3"/>
  </w:num>
  <w:num w:numId="6">
    <w:abstractNumId w:val="6"/>
  </w:num>
  <w:num w:numId="7">
    <w:abstractNumId w:val="4"/>
  </w:num>
  <w:num w:numId="8">
    <w:abstractNumId w:val="7"/>
  </w:num>
  <w:num w:numId="9">
    <w:abstractNumId w:val="9"/>
  </w:num>
  <w:num w:numId="10">
    <w:abstractNumId w:val="12"/>
  </w:num>
  <w:num w:numId="11">
    <w:abstractNumId w:val="26"/>
  </w:num>
  <w:num w:numId="12">
    <w:abstractNumId w:val="0"/>
  </w:num>
  <w:num w:numId="13">
    <w:abstractNumId w:val="17"/>
  </w:num>
  <w:num w:numId="14">
    <w:abstractNumId w:val="1"/>
  </w:num>
  <w:num w:numId="15">
    <w:abstractNumId w:val="25"/>
  </w:num>
  <w:num w:numId="16">
    <w:abstractNumId w:val="27"/>
  </w:num>
  <w:num w:numId="17">
    <w:abstractNumId w:val="11"/>
  </w:num>
  <w:num w:numId="18">
    <w:abstractNumId w:val="24"/>
  </w:num>
  <w:num w:numId="19">
    <w:abstractNumId w:val="14"/>
  </w:num>
  <w:num w:numId="20">
    <w:abstractNumId w:val="28"/>
  </w:num>
  <w:num w:numId="21">
    <w:abstractNumId w:val="18"/>
  </w:num>
  <w:num w:numId="22">
    <w:abstractNumId w:val="8"/>
  </w:num>
  <w:num w:numId="23">
    <w:abstractNumId w:val="15"/>
  </w:num>
  <w:num w:numId="24">
    <w:abstractNumId w:val="21"/>
  </w:num>
  <w:num w:numId="25">
    <w:abstractNumId w:val="20"/>
  </w:num>
  <w:num w:numId="26">
    <w:abstractNumId w:val="16"/>
  </w:num>
  <w:num w:numId="27">
    <w:abstractNumId w:val="13"/>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DD"/>
    <w:rsid w:val="0001621D"/>
    <w:rsid w:val="00017DB5"/>
    <w:rsid w:val="00033DD2"/>
    <w:rsid w:val="000353FA"/>
    <w:rsid w:val="00035744"/>
    <w:rsid w:val="00064F9A"/>
    <w:rsid w:val="00065D14"/>
    <w:rsid w:val="000664BF"/>
    <w:rsid w:val="00075A05"/>
    <w:rsid w:val="000B0907"/>
    <w:rsid w:val="000B5ACE"/>
    <w:rsid w:val="000C22CD"/>
    <w:rsid w:val="000D7A36"/>
    <w:rsid w:val="000E0373"/>
    <w:rsid w:val="000E4879"/>
    <w:rsid w:val="000F6726"/>
    <w:rsid w:val="0010172B"/>
    <w:rsid w:val="001157CD"/>
    <w:rsid w:val="00130148"/>
    <w:rsid w:val="001377D2"/>
    <w:rsid w:val="00137EB1"/>
    <w:rsid w:val="001563DD"/>
    <w:rsid w:val="00161491"/>
    <w:rsid w:val="001636C9"/>
    <w:rsid w:val="001711C8"/>
    <w:rsid w:val="00176745"/>
    <w:rsid w:val="00184344"/>
    <w:rsid w:val="001901B0"/>
    <w:rsid w:val="001D4354"/>
    <w:rsid w:val="001D4E88"/>
    <w:rsid w:val="001F24A3"/>
    <w:rsid w:val="002107A0"/>
    <w:rsid w:val="00217962"/>
    <w:rsid w:val="002228EF"/>
    <w:rsid w:val="00233162"/>
    <w:rsid w:val="002841B3"/>
    <w:rsid w:val="002B3CF7"/>
    <w:rsid w:val="002F33D9"/>
    <w:rsid w:val="002F6C67"/>
    <w:rsid w:val="002F7064"/>
    <w:rsid w:val="00303F74"/>
    <w:rsid w:val="0030463A"/>
    <w:rsid w:val="0030694F"/>
    <w:rsid w:val="00342897"/>
    <w:rsid w:val="00345F78"/>
    <w:rsid w:val="00355B95"/>
    <w:rsid w:val="00374BBC"/>
    <w:rsid w:val="003950B2"/>
    <w:rsid w:val="003A0C63"/>
    <w:rsid w:val="003A4688"/>
    <w:rsid w:val="003A6553"/>
    <w:rsid w:val="003B2AB6"/>
    <w:rsid w:val="003C1480"/>
    <w:rsid w:val="003D26B1"/>
    <w:rsid w:val="003D40B5"/>
    <w:rsid w:val="00406D6F"/>
    <w:rsid w:val="00412631"/>
    <w:rsid w:val="00416F2D"/>
    <w:rsid w:val="00432076"/>
    <w:rsid w:val="00444EFE"/>
    <w:rsid w:val="00451567"/>
    <w:rsid w:val="00453E57"/>
    <w:rsid w:val="004907C0"/>
    <w:rsid w:val="00495ACA"/>
    <w:rsid w:val="004960DE"/>
    <w:rsid w:val="00496EC4"/>
    <w:rsid w:val="004B695D"/>
    <w:rsid w:val="004C6035"/>
    <w:rsid w:val="004C7FB7"/>
    <w:rsid w:val="004F3BD1"/>
    <w:rsid w:val="00514163"/>
    <w:rsid w:val="0051575C"/>
    <w:rsid w:val="005353A2"/>
    <w:rsid w:val="00557025"/>
    <w:rsid w:val="00574902"/>
    <w:rsid w:val="005818AB"/>
    <w:rsid w:val="00581D22"/>
    <w:rsid w:val="00591064"/>
    <w:rsid w:val="005968AB"/>
    <w:rsid w:val="005A51AA"/>
    <w:rsid w:val="005D7DAE"/>
    <w:rsid w:val="005F25E2"/>
    <w:rsid w:val="006007AC"/>
    <w:rsid w:val="00607746"/>
    <w:rsid w:val="0061045B"/>
    <w:rsid w:val="00623220"/>
    <w:rsid w:val="00643797"/>
    <w:rsid w:val="00657A8D"/>
    <w:rsid w:val="006758EE"/>
    <w:rsid w:val="006949D6"/>
    <w:rsid w:val="00696825"/>
    <w:rsid w:val="006975EE"/>
    <w:rsid w:val="006A0B6D"/>
    <w:rsid w:val="006A2BB8"/>
    <w:rsid w:val="006B1618"/>
    <w:rsid w:val="006B42BE"/>
    <w:rsid w:val="006C5512"/>
    <w:rsid w:val="006D291B"/>
    <w:rsid w:val="006E2349"/>
    <w:rsid w:val="006F0FD1"/>
    <w:rsid w:val="006F4BA4"/>
    <w:rsid w:val="0070136E"/>
    <w:rsid w:val="007118B6"/>
    <w:rsid w:val="007336DB"/>
    <w:rsid w:val="00746B64"/>
    <w:rsid w:val="007847B3"/>
    <w:rsid w:val="00785372"/>
    <w:rsid w:val="007B5812"/>
    <w:rsid w:val="007B5F78"/>
    <w:rsid w:val="007C67ED"/>
    <w:rsid w:val="00864BFB"/>
    <w:rsid w:val="00890839"/>
    <w:rsid w:val="008A5C54"/>
    <w:rsid w:val="008D42E6"/>
    <w:rsid w:val="008D68E2"/>
    <w:rsid w:val="008E545C"/>
    <w:rsid w:val="009022AA"/>
    <w:rsid w:val="009240F5"/>
    <w:rsid w:val="00926E04"/>
    <w:rsid w:val="00971B37"/>
    <w:rsid w:val="009829F0"/>
    <w:rsid w:val="009A6613"/>
    <w:rsid w:val="009C0E87"/>
    <w:rsid w:val="009C241E"/>
    <w:rsid w:val="009D699D"/>
    <w:rsid w:val="009D6A63"/>
    <w:rsid w:val="009E1404"/>
    <w:rsid w:val="009F0D24"/>
    <w:rsid w:val="00A32179"/>
    <w:rsid w:val="00A32DA2"/>
    <w:rsid w:val="00A359D4"/>
    <w:rsid w:val="00A50C08"/>
    <w:rsid w:val="00A5481C"/>
    <w:rsid w:val="00A74D83"/>
    <w:rsid w:val="00A74EBF"/>
    <w:rsid w:val="00A827F5"/>
    <w:rsid w:val="00A9730F"/>
    <w:rsid w:val="00AA5CBD"/>
    <w:rsid w:val="00AA7950"/>
    <w:rsid w:val="00AE159B"/>
    <w:rsid w:val="00AE2744"/>
    <w:rsid w:val="00B06A08"/>
    <w:rsid w:val="00B1789F"/>
    <w:rsid w:val="00B17C4B"/>
    <w:rsid w:val="00B20EDA"/>
    <w:rsid w:val="00B2355A"/>
    <w:rsid w:val="00B37EE1"/>
    <w:rsid w:val="00B4082B"/>
    <w:rsid w:val="00B54429"/>
    <w:rsid w:val="00B559AA"/>
    <w:rsid w:val="00B70B9E"/>
    <w:rsid w:val="00B91206"/>
    <w:rsid w:val="00B92EB2"/>
    <w:rsid w:val="00B9687A"/>
    <w:rsid w:val="00BC6C57"/>
    <w:rsid w:val="00BD24AE"/>
    <w:rsid w:val="00BD27FF"/>
    <w:rsid w:val="00BE7235"/>
    <w:rsid w:val="00BF2B86"/>
    <w:rsid w:val="00C06567"/>
    <w:rsid w:val="00C06AD6"/>
    <w:rsid w:val="00C06B5D"/>
    <w:rsid w:val="00C206C4"/>
    <w:rsid w:val="00C23C39"/>
    <w:rsid w:val="00C23CE4"/>
    <w:rsid w:val="00C27695"/>
    <w:rsid w:val="00C30F1D"/>
    <w:rsid w:val="00C34B63"/>
    <w:rsid w:val="00C61571"/>
    <w:rsid w:val="00CA5A9A"/>
    <w:rsid w:val="00CC22E8"/>
    <w:rsid w:val="00CD0357"/>
    <w:rsid w:val="00CD505C"/>
    <w:rsid w:val="00D0479F"/>
    <w:rsid w:val="00D213B8"/>
    <w:rsid w:val="00D23926"/>
    <w:rsid w:val="00D47C75"/>
    <w:rsid w:val="00D50B35"/>
    <w:rsid w:val="00D52C93"/>
    <w:rsid w:val="00D76D79"/>
    <w:rsid w:val="00D834DF"/>
    <w:rsid w:val="00D86A85"/>
    <w:rsid w:val="00D90793"/>
    <w:rsid w:val="00DA623B"/>
    <w:rsid w:val="00DB0A87"/>
    <w:rsid w:val="00DC4211"/>
    <w:rsid w:val="00DE0F14"/>
    <w:rsid w:val="00DE46FE"/>
    <w:rsid w:val="00DF0F57"/>
    <w:rsid w:val="00DF4410"/>
    <w:rsid w:val="00E03DE2"/>
    <w:rsid w:val="00E05363"/>
    <w:rsid w:val="00E05FCE"/>
    <w:rsid w:val="00E13F58"/>
    <w:rsid w:val="00E22A51"/>
    <w:rsid w:val="00E33AA8"/>
    <w:rsid w:val="00E3793A"/>
    <w:rsid w:val="00E51621"/>
    <w:rsid w:val="00E56972"/>
    <w:rsid w:val="00E65AC1"/>
    <w:rsid w:val="00EA3810"/>
    <w:rsid w:val="00EA3DC7"/>
    <w:rsid w:val="00EA7209"/>
    <w:rsid w:val="00EC20FB"/>
    <w:rsid w:val="00EC3A6B"/>
    <w:rsid w:val="00ED6738"/>
    <w:rsid w:val="00ED6873"/>
    <w:rsid w:val="00EE3392"/>
    <w:rsid w:val="00F051ED"/>
    <w:rsid w:val="00F11BC0"/>
    <w:rsid w:val="00F12193"/>
    <w:rsid w:val="00F54C4A"/>
    <w:rsid w:val="00F8079C"/>
    <w:rsid w:val="00F830F5"/>
    <w:rsid w:val="00F857E9"/>
    <w:rsid w:val="00F86163"/>
    <w:rsid w:val="00FD7773"/>
    <w:rsid w:val="00FF229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4B2F74D-3CA6-4568-96B1-5DD9AB3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5481C"/>
    <w:rPr>
      <w:sz w:val="24"/>
      <w:szCs w:val="24"/>
    </w:rPr>
  </w:style>
  <w:style w:type="paragraph" w:styleId="Titolo1">
    <w:name w:val="heading 1"/>
    <w:basedOn w:val="Normale"/>
    <w:next w:val="Normale"/>
    <w:qFormat/>
    <w:rsid w:val="00A5481C"/>
    <w:pPr>
      <w:keepNext/>
      <w:ind w:right="-82"/>
      <w:jc w:val="center"/>
      <w:outlineLvl w:val="0"/>
    </w:pPr>
    <w:rPr>
      <w:rFonts w:ascii="Arial" w:hAnsi="Arial" w:cs="Arial"/>
      <w:b/>
      <w:bCs/>
      <w:sz w:val="20"/>
    </w:rPr>
  </w:style>
  <w:style w:type="paragraph" w:styleId="Titolo3">
    <w:name w:val="heading 3"/>
    <w:basedOn w:val="Normale"/>
    <w:next w:val="Normale"/>
    <w:qFormat/>
    <w:rsid w:val="00A5481C"/>
    <w:pPr>
      <w:keepNext/>
      <w:outlineLvl w:val="2"/>
    </w:pPr>
    <w:rPr>
      <w:i/>
      <w:iCs/>
      <w:sz w:val="18"/>
    </w:rPr>
  </w:style>
  <w:style w:type="paragraph" w:styleId="Titolo9">
    <w:name w:val="heading 9"/>
    <w:basedOn w:val="Normale"/>
    <w:next w:val="Normale"/>
    <w:qFormat/>
    <w:rsid w:val="00A5481C"/>
    <w:pPr>
      <w:keepNext/>
      <w:ind w:left="4956" w:firstLine="708"/>
      <w:outlineLvl w:val="8"/>
    </w:pPr>
    <w:rPr>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Carattere"/>
    <w:basedOn w:val="Normale"/>
    <w:link w:val="IntestazioneCarattere"/>
    <w:rsid w:val="00A5481C"/>
    <w:pPr>
      <w:tabs>
        <w:tab w:val="center" w:pos="4819"/>
        <w:tab w:val="right" w:pos="9638"/>
      </w:tabs>
    </w:pPr>
  </w:style>
  <w:style w:type="paragraph" w:styleId="Testofumetto">
    <w:name w:val="Balloon Text"/>
    <w:basedOn w:val="Normale"/>
    <w:semiHidden/>
    <w:rsid w:val="00A5481C"/>
    <w:rPr>
      <w:rFonts w:ascii="Tahoma" w:hAnsi="Tahoma" w:cs="Tahoma"/>
      <w:sz w:val="16"/>
      <w:szCs w:val="16"/>
    </w:rPr>
  </w:style>
  <w:style w:type="character" w:styleId="Collegamentoipertestuale">
    <w:name w:val="Hyperlink"/>
    <w:basedOn w:val="Carpredefinitoparagrafo"/>
    <w:rsid w:val="00A5481C"/>
    <w:rPr>
      <w:color w:val="0000FF"/>
      <w:u w:val="single"/>
    </w:rPr>
  </w:style>
  <w:style w:type="paragraph" w:styleId="Pidipagina">
    <w:name w:val="footer"/>
    <w:basedOn w:val="Normale"/>
    <w:link w:val="PidipaginaCarattere"/>
    <w:uiPriority w:val="99"/>
    <w:unhideWhenUsed/>
    <w:rsid w:val="00A5481C"/>
    <w:pPr>
      <w:tabs>
        <w:tab w:val="center" w:pos="4819"/>
        <w:tab w:val="right" w:pos="9638"/>
      </w:tabs>
    </w:pPr>
  </w:style>
  <w:style w:type="character" w:customStyle="1" w:styleId="Carattere">
    <w:name w:val="Carattere"/>
    <w:basedOn w:val="Carpredefinitoparagrafo"/>
    <w:rsid w:val="00A5481C"/>
    <w:rPr>
      <w:sz w:val="24"/>
      <w:szCs w:val="24"/>
    </w:rPr>
  </w:style>
  <w:style w:type="character" w:customStyle="1" w:styleId="Carattere1">
    <w:name w:val="Carattere1"/>
    <w:basedOn w:val="Carpredefinitoparagrafo"/>
    <w:rsid w:val="00A5481C"/>
    <w:rPr>
      <w:sz w:val="24"/>
      <w:szCs w:val="24"/>
    </w:rPr>
  </w:style>
  <w:style w:type="character" w:customStyle="1" w:styleId="IntestazioneCarattere">
    <w:name w:val="Intestazione Carattere"/>
    <w:aliases w:val="Carattere Carattere"/>
    <w:basedOn w:val="Carpredefinitoparagrafo"/>
    <w:link w:val="Intestazione"/>
    <w:locked/>
    <w:rsid w:val="00B17C4B"/>
    <w:rPr>
      <w:sz w:val="24"/>
      <w:szCs w:val="24"/>
      <w:lang w:val="it-IT" w:eastAsia="it-IT" w:bidi="ar-SA"/>
    </w:rPr>
  </w:style>
  <w:style w:type="table" w:styleId="Grigliatabella">
    <w:name w:val="Table Grid"/>
    <w:basedOn w:val="Tabellanormale"/>
    <w:rsid w:val="00217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758EE"/>
    <w:pPr>
      <w:ind w:left="720"/>
      <w:contextualSpacing/>
    </w:pPr>
  </w:style>
  <w:style w:type="character" w:customStyle="1" w:styleId="PidipaginaCarattere">
    <w:name w:val="Piè di pagina Carattere"/>
    <w:basedOn w:val="Carpredefinitoparagrafo"/>
    <w:link w:val="Pidipagina"/>
    <w:uiPriority w:val="99"/>
    <w:rsid w:val="001D4E88"/>
    <w:rPr>
      <w:sz w:val="24"/>
      <w:szCs w:val="24"/>
    </w:rPr>
  </w:style>
  <w:style w:type="paragraph" w:customStyle="1" w:styleId="Corpodeltesto31">
    <w:name w:val="Corpo del testo 31"/>
    <w:basedOn w:val="Normale"/>
    <w:uiPriority w:val="99"/>
    <w:qFormat/>
    <w:rsid w:val="006D291B"/>
    <w:pPr>
      <w:suppressAutoHyphens/>
      <w:jc w:val="both"/>
    </w:pPr>
    <w:rPr>
      <w:rFonts w:eastAsia="Calibri"/>
      <w:b/>
      <w:bCs/>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64105">
      <w:bodyDiv w:val="1"/>
      <w:marLeft w:val="0"/>
      <w:marRight w:val="0"/>
      <w:marTop w:val="0"/>
      <w:marBottom w:val="0"/>
      <w:divBdr>
        <w:top w:val="none" w:sz="0" w:space="0" w:color="auto"/>
        <w:left w:val="none" w:sz="0" w:space="0" w:color="auto"/>
        <w:bottom w:val="none" w:sz="0" w:space="0" w:color="auto"/>
        <w:right w:val="none" w:sz="0" w:space="0" w:color="auto"/>
      </w:divBdr>
    </w:div>
    <w:div w:id="114570067">
      <w:bodyDiv w:val="1"/>
      <w:marLeft w:val="0"/>
      <w:marRight w:val="0"/>
      <w:marTop w:val="0"/>
      <w:marBottom w:val="0"/>
      <w:divBdr>
        <w:top w:val="none" w:sz="0" w:space="0" w:color="auto"/>
        <w:left w:val="none" w:sz="0" w:space="0" w:color="auto"/>
        <w:bottom w:val="none" w:sz="0" w:space="0" w:color="auto"/>
        <w:right w:val="none" w:sz="0" w:space="0" w:color="auto"/>
      </w:divBdr>
    </w:div>
    <w:div w:id="206795492">
      <w:bodyDiv w:val="1"/>
      <w:marLeft w:val="0"/>
      <w:marRight w:val="0"/>
      <w:marTop w:val="0"/>
      <w:marBottom w:val="0"/>
      <w:divBdr>
        <w:top w:val="none" w:sz="0" w:space="0" w:color="auto"/>
        <w:left w:val="none" w:sz="0" w:space="0" w:color="auto"/>
        <w:bottom w:val="none" w:sz="0" w:space="0" w:color="auto"/>
        <w:right w:val="none" w:sz="0" w:space="0" w:color="auto"/>
      </w:divBdr>
    </w:div>
    <w:div w:id="410199238">
      <w:bodyDiv w:val="1"/>
      <w:marLeft w:val="0"/>
      <w:marRight w:val="0"/>
      <w:marTop w:val="0"/>
      <w:marBottom w:val="0"/>
      <w:divBdr>
        <w:top w:val="none" w:sz="0" w:space="0" w:color="auto"/>
        <w:left w:val="none" w:sz="0" w:space="0" w:color="auto"/>
        <w:bottom w:val="none" w:sz="0" w:space="0" w:color="auto"/>
        <w:right w:val="none" w:sz="0" w:space="0" w:color="auto"/>
      </w:divBdr>
    </w:div>
    <w:div w:id="636840238">
      <w:bodyDiv w:val="1"/>
      <w:marLeft w:val="0"/>
      <w:marRight w:val="0"/>
      <w:marTop w:val="0"/>
      <w:marBottom w:val="0"/>
      <w:divBdr>
        <w:top w:val="none" w:sz="0" w:space="0" w:color="auto"/>
        <w:left w:val="none" w:sz="0" w:space="0" w:color="auto"/>
        <w:bottom w:val="none" w:sz="0" w:space="0" w:color="auto"/>
        <w:right w:val="none" w:sz="0" w:space="0" w:color="auto"/>
      </w:divBdr>
    </w:div>
    <w:div w:id="638342633">
      <w:bodyDiv w:val="1"/>
      <w:marLeft w:val="0"/>
      <w:marRight w:val="0"/>
      <w:marTop w:val="0"/>
      <w:marBottom w:val="0"/>
      <w:divBdr>
        <w:top w:val="none" w:sz="0" w:space="0" w:color="auto"/>
        <w:left w:val="none" w:sz="0" w:space="0" w:color="auto"/>
        <w:bottom w:val="none" w:sz="0" w:space="0" w:color="auto"/>
        <w:right w:val="none" w:sz="0" w:space="0" w:color="auto"/>
      </w:divBdr>
    </w:div>
    <w:div w:id="682703167">
      <w:bodyDiv w:val="1"/>
      <w:marLeft w:val="0"/>
      <w:marRight w:val="0"/>
      <w:marTop w:val="0"/>
      <w:marBottom w:val="0"/>
      <w:divBdr>
        <w:top w:val="none" w:sz="0" w:space="0" w:color="auto"/>
        <w:left w:val="none" w:sz="0" w:space="0" w:color="auto"/>
        <w:bottom w:val="none" w:sz="0" w:space="0" w:color="auto"/>
        <w:right w:val="none" w:sz="0" w:space="0" w:color="auto"/>
      </w:divBdr>
    </w:div>
    <w:div w:id="732237586">
      <w:bodyDiv w:val="1"/>
      <w:marLeft w:val="0"/>
      <w:marRight w:val="0"/>
      <w:marTop w:val="0"/>
      <w:marBottom w:val="0"/>
      <w:divBdr>
        <w:top w:val="none" w:sz="0" w:space="0" w:color="auto"/>
        <w:left w:val="none" w:sz="0" w:space="0" w:color="auto"/>
        <w:bottom w:val="none" w:sz="0" w:space="0" w:color="auto"/>
        <w:right w:val="none" w:sz="0" w:space="0" w:color="auto"/>
      </w:divBdr>
    </w:div>
    <w:div w:id="742290702">
      <w:bodyDiv w:val="1"/>
      <w:marLeft w:val="0"/>
      <w:marRight w:val="0"/>
      <w:marTop w:val="0"/>
      <w:marBottom w:val="0"/>
      <w:divBdr>
        <w:top w:val="none" w:sz="0" w:space="0" w:color="auto"/>
        <w:left w:val="none" w:sz="0" w:space="0" w:color="auto"/>
        <w:bottom w:val="none" w:sz="0" w:space="0" w:color="auto"/>
        <w:right w:val="none" w:sz="0" w:space="0" w:color="auto"/>
      </w:divBdr>
    </w:div>
    <w:div w:id="787546552">
      <w:bodyDiv w:val="1"/>
      <w:marLeft w:val="0"/>
      <w:marRight w:val="0"/>
      <w:marTop w:val="0"/>
      <w:marBottom w:val="0"/>
      <w:divBdr>
        <w:top w:val="none" w:sz="0" w:space="0" w:color="auto"/>
        <w:left w:val="none" w:sz="0" w:space="0" w:color="auto"/>
        <w:bottom w:val="none" w:sz="0" w:space="0" w:color="auto"/>
        <w:right w:val="none" w:sz="0" w:space="0" w:color="auto"/>
      </w:divBdr>
    </w:div>
    <w:div w:id="802694353">
      <w:bodyDiv w:val="1"/>
      <w:marLeft w:val="0"/>
      <w:marRight w:val="0"/>
      <w:marTop w:val="0"/>
      <w:marBottom w:val="0"/>
      <w:divBdr>
        <w:top w:val="none" w:sz="0" w:space="0" w:color="auto"/>
        <w:left w:val="none" w:sz="0" w:space="0" w:color="auto"/>
        <w:bottom w:val="none" w:sz="0" w:space="0" w:color="auto"/>
        <w:right w:val="none" w:sz="0" w:space="0" w:color="auto"/>
      </w:divBdr>
    </w:div>
    <w:div w:id="860821495">
      <w:bodyDiv w:val="1"/>
      <w:marLeft w:val="0"/>
      <w:marRight w:val="0"/>
      <w:marTop w:val="0"/>
      <w:marBottom w:val="0"/>
      <w:divBdr>
        <w:top w:val="none" w:sz="0" w:space="0" w:color="auto"/>
        <w:left w:val="none" w:sz="0" w:space="0" w:color="auto"/>
        <w:bottom w:val="none" w:sz="0" w:space="0" w:color="auto"/>
        <w:right w:val="none" w:sz="0" w:space="0" w:color="auto"/>
      </w:divBdr>
    </w:div>
    <w:div w:id="905647005">
      <w:bodyDiv w:val="1"/>
      <w:marLeft w:val="0"/>
      <w:marRight w:val="0"/>
      <w:marTop w:val="0"/>
      <w:marBottom w:val="0"/>
      <w:divBdr>
        <w:top w:val="none" w:sz="0" w:space="0" w:color="auto"/>
        <w:left w:val="none" w:sz="0" w:space="0" w:color="auto"/>
        <w:bottom w:val="none" w:sz="0" w:space="0" w:color="auto"/>
        <w:right w:val="none" w:sz="0" w:space="0" w:color="auto"/>
      </w:divBdr>
    </w:div>
    <w:div w:id="918487419">
      <w:bodyDiv w:val="1"/>
      <w:marLeft w:val="0"/>
      <w:marRight w:val="0"/>
      <w:marTop w:val="0"/>
      <w:marBottom w:val="0"/>
      <w:divBdr>
        <w:top w:val="none" w:sz="0" w:space="0" w:color="auto"/>
        <w:left w:val="none" w:sz="0" w:space="0" w:color="auto"/>
        <w:bottom w:val="none" w:sz="0" w:space="0" w:color="auto"/>
        <w:right w:val="none" w:sz="0" w:space="0" w:color="auto"/>
      </w:divBdr>
    </w:div>
    <w:div w:id="955333426">
      <w:bodyDiv w:val="1"/>
      <w:marLeft w:val="0"/>
      <w:marRight w:val="0"/>
      <w:marTop w:val="0"/>
      <w:marBottom w:val="0"/>
      <w:divBdr>
        <w:top w:val="none" w:sz="0" w:space="0" w:color="auto"/>
        <w:left w:val="none" w:sz="0" w:space="0" w:color="auto"/>
        <w:bottom w:val="none" w:sz="0" w:space="0" w:color="auto"/>
        <w:right w:val="none" w:sz="0" w:space="0" w:color="auto"/>
      </w:divBdr>
    </w:div>
    <w:div w:id="1132291134">
      <w:bodyDiv w:val="1"/>
      <w:marLeft w:val="0"/>
      <w:marRight w:val="0"/>
      <w:marTop w:val="0"/>
      <w:marBottom w:val="0"/>
      <w:divBdr>
        <w:top w:val="none" w:sz="0" w:space="0" w:color="auto"/>
        <w:left w:val="none" w:sz="0" w:space="0" w:color="auto"/>
        <w:bottom w:val="none" w:sz="0" w:space="0" w:color="auto"/>
        <w:right w:val="none" w:sz="0" w:space="0" w:color="auto"/>
      </w:divBdr>
    </w:div>
    <w:div w:id="1197232508">
      <w:bodyDiv w:val="1"/>
      <w:marLeft w:val="0"/>
      <w:marRight w:val="0"/>
      <w:marTop w:val="0"/>
      <w:marBottom w:val="0"/>
      <w:divBdr>
        <w:top w:val="none" w:sz="0" w:space="0" w:color="auto"/>
        <w:left w:val="none" w:sz="0" w:space="0" w:color="auto"/>
        <w:bottom w:val="none" w:sz="0" w:space="0" w:color="auto"/>
        <w:right w:val="none" w:sz="0" w:space="0" w:color="auto"/>
      </w:divBdr>
    </w:div>
    <w:div w:id="1213730307">
      <w:bodyDiv w:val="1"/>
      <w:marLeft w:val="0"/>
      <w:marRight w:val="0"/>
      <w:marTop w:val="0"/>
      <w:marBottom w:val="0"/>
      <w:divBdr>
        <w:top w:val="none" w:sz="0" w:space="0" w:color="auto"/>
        <w:left w:val="none" w:sz="0" w:space="0" w:color="auto"/>
        <w:bottom w:val="none" w:sz="0" w:space="0" w:color="auto"/>
        <w:right w:val="none" w:sz="0" w:space="0" w:color="auto"/>
      </w:divBdr>
    </w:div>
    <w:div w:id="1345939341">
      <w:bodyDiv w:val="1"/>
      <w:marLeft w:val="0"/>
      <w:marRight w:val="0"/>
      <w:marTop w:val="0"/>
      <w:marBottom w:val="0"/>
      <w:divBdr>
        <w:top w:val="none" w:sz="0" w:space="0" w:color="auto"/>
        <w:left w:val="none" w:sz="0" w:space="0" w:color="auto"/>
        <w:bottom w:val="none" w:sz="0" w:space="0" w:color="auto"/>
        <w:right w:val="none" w:sz="0" w:space="0" w:color="auto"/>
      </w:divBdr>
    </w:div>
    <w:div w:id="1441023243">
      <w:bodyDiv w:val="1"/>
      <w:marLeft w:val="0"/>
      <w:marRight w:val="0"/>
      <w:marTop w:val="0"/>
      <w:marBottom w:val="0"/>
      <w:divBdr>
        <w:top w:val="none" w:sz="0" w:space="0" w:color="auto"/>
        <w:left w:val="none" w:sz="0" w:space="0" w:color="auto"/>
        <w:bottom w:val="none" w:sz="0" w:space="0" w:color="auto"/>
        <w:right w:val="none" w:sz="0" w:space="0" w:color="auto"/>
      </w:divBdr>
    </w:div>
    <w:div w:id="1493984930">
      <w:bodyDiv w:val="1"/>
      <w:marLeft w:val="0"/>
      <w:marRight w:val="0"/>
      <w:marTop w:val="0"/>
      <w:marBottom w:val="0"/>
      <w:divBdr>
        <w:top w:val="none" w:sz="0" w:space="0" w:color="auto"/>
        <w:left w:val="none" w:sz="0" w:space="0" w:color="auto"/>
        <w:bottom w:val="none" w:sz="0" w:space="0" w:color="auto"/>
        <w:right w:val="none" w:sz="0" w:space="0" w:color="auto"/>
      </w:divBdr>
    </w:div>
    <w:div w:id="1544832188">
      <w:bodyDiv w:val="1"/>
      <w:marLeft w:val="0"/>
      <w:marRight w:val="0"/>
      <w:marTop w:val="0"/>
      <w:marBottom w:val="0"/>
      <w:divBdr>
        <w:top w:val="none" w:sz="0" w:space="0" w:color="auto"/>
        <w:left w:val="none" w:sz="0" w:space="0" w:color="auto"/>
        <w:bottom w:val="none" w:sz="0" w:space="0" w:color="auto"/>
        <w:right w:val="none" w:sz="0" w:space="0" w:color="auto"/>
      </w:divBdr>
    </w:div>
    <w:div w:id="1643538343">
      <w:bodyDiv w:val="1"/>
      <w:marLeft w:val="0"/>
      <w:marRight w:val="0"/>
      <w:marTop w:val="0"/>
      <w:marBottom w:val="0"/>
      <w:divBdr>
        <w:top w:val="none" w:sz="0" w:space="0" w:color="auto"/>
        <w:left w:val="none" w:sz="0" w:space="0" w:color="auto"/>
        <w:bottom w:val="none" w:sz="0" w:space="0" w:color="auto"/>
        <w:right w:val="none" w:sz="0" w:space="0" w:color="auto"/>
      </w:divBdr>
    </w:div>
    <w:div w:id="1890874188">
      <w:bodyDiv w:val="1"/>
      <w:marLeft w:val="0"/>
      <w:marRight w:val="0"/>
      <w:marTop w:val="0"/>
      <w:marBottom w:val="0"/>
      <w:divBdr>
        <w:top w:val="none" w:sz="0" w:space="0" w:color="auto"/>
        <w:left w:val="none" w:sz="0" w:space="0" w:color="auto"/>
        <w:bottom w:val="none" w:sz="0" w:space="0" w:color="auto"/>
        <w:right w:val="none" w:sz="0" w:space="0" w:color="auto"/>
      </w:divBdr>
    </w:div>
    <w:div w:id="1911118610">
      <w:bodyDiv w:val="1"/>
      <w:marLeft w:val="0"/>
      <w:marRight w:val="0"/>
      <w:marTop w:val="0"/>
      <w:marBottom w:val="0"/>
      <w:divBdr>
        <w:top w:val="none" w:sz="0" w:space="0" w:color="auto"/>
        <w:left w:val="none" w:sz="0" w:space="0" w:color="auto"/>
        <w:bottom w:val="none" w:sz="0" w:space="0" w:color="auto"/>
        <w:right w:val="none" w:sz="0" w:space="0" w:color="auto"/>
      </w:divBdr>
    </w:div>
    <w:div w:id="2076315642">
      <w:bodyDiv w:val="1"/>
      <w:marLeft w:val="0"/>
      <w:marRight w:val="0"/>
      <w:marTop w:val="0"/>
      <w:marBottom w:val="0"/>
      <w:divBdr>
        <w:top w:val="none" w:sz="0" w:space="0" w:color="auto"/>
        <w:left w:val="none" w:sz="0" w:space="0" w:color="auto"/>
        <w:bottom w:val="none" w:sz="0" w:space="0" w:color="auto"/>
        <w:right w:val="none" w:sz="0" w:space="0" w:color="auto"/>
      </w:divBdr>
    </w:div>
    <w:div w:id="214684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9</Pages>
  <Words>2991</Words>
  <Characters>17055</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20006</CharactersWithSpaces>
  <SharedDoc>false</SharedDoc>
  <HLinks>
    <vt:vector size="12" baseType="variant">
      <vt:variant>
        <vt:i4>4325434</vt:i4>
      </vt:variant>
      <vt:variant>
        <vt:i4>3</vt:i4>
      </vt:variant>
      <vt:variant>
        <vt:i4>0</vt:i4>
      </vt:variant>
      <vt:variant>
        <vt:i4>5</vt:i4>
      </vt:variant>
      <vt:variant>
        <vt:lpwstr>mailto:ecofin@pec.aslal.it</vt:lpwstr>
      </vt:variant>
      <vt:variant>
        <vt:lpwstr/>
      </vt:variant>
      <vt:variant>
        <vt:i4>1835063</vt:i4>
      </vt:variant>
      <vt:variant>
        <vt:i4>0</vt:i4>
      </vt:variant>
      <vt:variant>
        <vt:i4>0</vt:i4>
      </vt:variant>
      <vt:variant>
        <vt:i4>5</vt:i4>
      </vt:variant>
      <vt:variant>
        <vt:lpwstr>mailto:ragioneria@aslal.it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Veronese</dc:creator>
  <cp:lastModifiedBy>FARA Giovanni</cp:lastModifiedBy>
  <cp:revision>6</cp:revision>
  <cp:lastPrinted>2015-02-17T08:15:00Z</cp:lastPrinted>
  <dcterms:created xsi:type="dcterms:W3CDTF">2018-02-06T14:59:00Z</dcterms:created>
  <dcterms:modified xsi:type="dcterms:W3CDTF">2018-02-08T14:17:00Z</dcterms:modified>
</cp:coreProperties>
</file>